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F15E2" w14:textId="7876E240" w:rsidR="00F2358D" w:rsidRPr="00AB3103" w:rsidRDefault="00F2358D" w:rsidP="00F2358D">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#9</w:t>
      </w:r>
      <w:r w:rsidR="00AB3103">
        <w:rPr>
          <w:rFonts w:ascii="Arial" w:hAnsi="Arial" w:cs="Arial"/>
          <w:b/>
          <w:noProof/>
          <w:sz w:val="24"/>
          <w:szCs w:val="24"/>
          <w:lang w:eastAsia="en-US"/>
        </w:rPr>
        <w:t>8</w:t>
      </w:r>
      <w:r w:rsidR="00C77534">
        <w:rPr>
          <w:rFonts w:ascii="Arial" w:hAnsi="Arial" w:cs="Arial"/>
          <w:b/>
          <w:noProof/>
          <w:sz w:val="24"/>
          <w:szCs w:val="24"/>
          <w:lang w:eastAsia="ko-KR"/>
        </w:rPr>
        <w:t>bis</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B16E86">
        <w:rPr>
          <w:rFonts w:ascii="Arial" w:hAnsi="Arial" w:cs="Arial"/>
          <w:b/>
          <w:noProof/>
          <w:sz w:val="24"/>
          <w:szCs w:val="24"/>
        </w:rPr>
        <w:t xml:space="preserve">           </w:t>
      </w:r>
      <w:r w:rsidR="00C213AE" w:rsidRPr="00C213AE">
        <w:rPr>
          <w:rFonts w:ascii="Arial" w:hAnsi="Arial" w:cs="Arial"/>
          <w:b/>
          <w:noProof/>
          <w:sz w:val="24"/>
          <w:szCs w:val="24"/>
        </w:rPr>
        <w:t>R1-1910998</w:t>
      </w:r>
    </w:p>
    <w:p w14:paraId="6BB72191" w14:textId="01323579" w:rsidR="00F2358D" w:rsidRDefault="00C77534" w:rsidP="00F2358D">
      <w:pPr>
        <w:widowControl w:val="0"/>
        <w:tabs>
          <w:tab w:val="left" w:pos="1985"/>
        </w:tabs>
        <w:rPr>
          <w:rFonts w:ascii="Arial" w:hAnsi="Arial" w:cs="Arial"/>
          <w:b/>
          <w:sz w:val="24"/>
          <w:szCs w:val="24"/>
          <w:lang w:eastAsia="ko-KR"/>
        </w:rPr>
      </w:pPr>
      <w:r>
        <w:rPr>
          <w:rFonts w:ascii="Arial" w:eastAsia="MS Mincho" w:hAnsi="Arial" w:cs="Arial"/>
          <w:b/>
          <w:bCs/>
          <w:sz w:val="24"/>
          <w:szCs w:val="24"/>
        </w:rPr>
        <w:t>Chongqing</w:t>
      </w:r>
      <w:r w:rsidR="00F2358D" w:rsidRPr="000A1524">
        <w:rPr>
          <w:rFonts w:ascii="Arial" w:eastAsia="MS Mincho" w:hAnsi="Arial" w:cs="Arial"/>
          <w:b/>
          <w:bCs/>
          <w:sz w:val="24"/>
          <w:szCs w:val="24"/>
        </w:rPr>
        <w:t xml:space="preserve">, </w:t>
      </w:r>
      <w:r w:rsidR="00AB3103">
        <w:rPr>
          <w:rFonts w:ascii="Arial" w:eastAsia="MS Mincho" w:hAnsi="Arial" w:cs="Arial"/>
          <w:b/>
          <w:bCs/>
          <w:sz w:val="24"/>
          <w:szCs w:val="24"/>
        </w:rPr>
        <w:t>C</w:t>
      </w:r>
      <w:r>
        <w:rPr>
          <w:rFonts w:ascii="Arial" w:eastAsia="MS Mincho" w:hAnsi="Arial" w:cs="Arial"/>
          <w:b/>
          <w:bCs/>
          <w:sz w:val="24"/>
          <w:szCs w:val="24"/>
        </w:rPr>
        <w:t>hina</w:t>
      </w:r>
      <w:r w:rsidR="00F2358D" w:rsidRPr="000A1524">
        <w:rPr>
          <w:rFonts w:ascii="Arial" w:eastAsia="MS Mincho" w:hAnsi="Arial" w:cs="Arial"/>
          <w:b/>
          <w:bCs/>
          <w:sz w:val="24"/>
          <w:szCs w:val="24"/>
        </w:rPr>
        <w:t xml:space="preserve">, </w:t>
      </w:r>
      <w:r>
        <w:rPr>
          <w:rFonts w:ascii="Arial" w:eastAsia="MS Mincho" w:hAnsi="Arial" w:cs="Arial"/>
          <w:b/>
          <w:bCs/>
          <w:sz w:val="24"/>
          <w:szCs w:val="24"/>
        </w:rPr>
        <w:t>October</w:t>
      </w:r>
      <w:r w:rsidR="00C05737">
        <w:rPr>
          <w:rFonts w:ascii="Arial" w:eastAsia="MS Mincho" w:hAnsi="Arial" w:cs="Arial"/>
          <w:b/>
          <w:bCs/>
          <w:sz w:val="24"/>
          <w:szCs w:val="24"/>
        </w:rPr>
        <w:t xml:space="preserve"> </w:t>
      </w:r>
      <w:r>
        <w:rPr>
          <w:rFonts w:ascii="Arial" w:eastAsia="MS Mincho" w:hAnsi="Arial" w:cs="Arial"/>
          <w:b/>
          <w:bCs/>
          <w:sz w:val="24"/>
          <w:szCs w:val="24"/>
        </w:rPr>
        <w:t>14</w:t>
      </w:r>
      <w:r w:rsidR="00B16E86" w:rsidRPr="00B16E86">
        <w:rPr>
          <w:rFonts w:ascii="Arial" w:hAnsi="Arial" w:cs="Arial"/>
          <w:b/>
          <w:sz w:val="24"/>
          <w:szCs w:val="24"/>
          <w:vertAlign w:val="superscript"/>
          <w:lang w:eastAsia="ko-KR"/>
        </w:rPr>
        <w:t>th</w:t>
      </w:r>
      <w:r w:rsidR="00B16E86">
        <w:rPr>
          <w:rFonts w:ascii="Arial" w:hAnsi="Arial" w:cs="Arial"/>
          <w:b/>
          <w:sz w:val="24"/>
          <w:szCs w:val="24"/>
          <w:lang w:eastAsia="ko-KR"/>
        </w:rPr>
        <w:t xml:space="preserve"> </w:t>
      </w:r>
      <w:r w:rsidR="00CF5BF1">
        <w:rPr>
          <w:rFonts w:ascii="Arial" w:hAnsi="Arial" w:cs="Arial"/>
          <w:b/>
          <w:sz w:val="24"/>
          <w:szCs w:val="24"/>
          <w:lang w:eastAsia="ko-KR"/>
        </w:rPr>
        <w:t>-</w:t>
      </w:r>
      <w:r w:rsidR="00B16E86">
        <w:rPr>
          <w:rFonts w:ascii="Arial" w:hAnsi="Arial" w:cs="Arial"/>
          <w:b/>
          <w:sz w:val="24"/>
          <w:szCs w:val="24"/>
          <w:lang w:eastAsia="ko-KR"/>
        </w:rPr>
        <w:t xml:space="preserve"> </w:t>
      </w:r>
      <w:r>
        <w:rPr>
          <w:rFonts w:ascii="Arial" w:hAnsi="Arial" w:cs="Arial"/>
          <w:b/>
          <w:sz w:val="24"/>
          <w:szCs w:val="24"/>
          <w:lang w:eastAsia="ko-KR"/>
        </w:rPr>
        <w:t>2</w:t>
      </w:r>
      <w:r w:rsidR="00AB3103">
        <w:rPr>
          <w:rFonts w:ascii="Arial" w:hAnsi="Arial" w:cs="Arial"/>
          <w:b/>
          <w:sz w:val="24"/>
          <w:szCs w:val="24"/>
          <w:lang w:eastAsia="ko-KR"/>
        </w:rPr>
        <w:t>0</w:t>
      </w:r>
      <w:r w:rsidR="00B16E86" w:rsidRPr="00B16E86">
        <w:rPr>
          <w:rFonts w:ascii="Arial" w:hAnsi="Arial" w:cs="Arial"/>
          <w:b/>
          <w:sz w:val="24"/>
          <w:szCs w:val="24"/>
          <w:vertAlign w:val="superscript"/>
          <w:lang w:eastAsia="ko-KR"/>
        </w:rPr>
        <w:t>th</w:t>
      </w:r>
      <w:r w:rsidR="00CF5BF1">
        <w:rPr>
          <w:rFonts w:ascii="Arial" w:hAnsi="Arial" w:cs="Arial"/>
          <w:b/>
          <w:sz w:val="24"/>
          <w:szCs w:val="24"/>
          <w:lang w:eastAsia="ko-KR"/>
        </w:rPr>
        <w:t>,</w:t>
      </w:r>
      <w:r w:rsidR="00F2358D">
        <w:rPr>
          <w:rFonts w:ascii="Arial" w:hAnsi="Arial" w:cs="Arial"/>
          <w:b/>
          <w:sz w:val="24"/>
          <w:szCs w:val="24"/>
          <w:lang w:eastAsia="ko-KR"/>
        </w:rPr>
        <w:t xml:space="preserve"> 201</w:t>
      </w:r>
      <w:r w:rsidR="00B16E86">
        <w:rPr>
          <w:rFonts w:ascii="Arial" w:hAnsi="Arial" w:cs="Arial"/>
          <w:b/>
          <w:sz w:val="24"/>
          <w:szCs w:val="24"/>
          <w:lang w:eastAsia="ko-KR"/>
        </w:rPr>
        <w:t>9</w:t>
      </w:r>
    </w:p>
    <w:p w14:paraId="6B8FA6CB" w14:textId="77777777" w:rsidR="00F2358D" w:rsidRPr="00C77534" w:rsidRDefault="00F2358D" w:rsidP="00F2358D">
      <w:pPr>
        <w:widowControl w:val="0"/>
        <w:tabs>
          <w:tab w:val="left" w:pos="1985"/>
        </w:tabs>
        <w:rPr>
          <w:rFonts w:ascii="Arial" w:hAnsi="Arial" w:cs="Arial"/>
          <w:b/>
          <w:sz w:val="24"/>
          <w:szCs w:val="24"/>
          <w:lang w:eastAsia="ko-KR"/>
        </w:rPr>
      </w:pPr>
    </w:p>
    <w:p w14:paraId="00FEA1FA" w14:textId="04A11B53" w:rsidR="00F2358D" w:rsidRPr="00B41541" w:rsidRDefault="00F2358D" w:rsidP="00F2358D">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006D3291">
        <w:rPr>
          <w:rFonts w:cs="Arial"/>
          <w:b/>
          <w:sz w:val="24"/>
          <w:szCs w:val="24"/>
          <w:lang w:eastAsia="ko-KR"/>
        </w:rPr>
        <w:t xml:space="preserve"> </w:t>
      </w:r>
      <w:r w:rsidRPr="00B41541">
        <w:rPr>
          <w:rFonts w:cs="Arial"/>
          <w:b/>
          <w:sz w:val="24"/>
          <w:szCs w:val="24"/>
          <w:lang w:eastAsia="ko-KR"/>
        </w:rPr>
        <w:t>ETRI</w:t>
      </w:r>
    </w:p>
    <w:p w14:paraId="43989A69" w14:textId="733CBF1A" w:rsidR="00F2358D" w:rsidRPr="00B41541" w:rsidRDefault="00F2358D" w:rsidP="00437E90">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sidR="006D3291">
        <w:rPr>
          <w:rFonts w:cs="Arial"/>
          <w:b/>
          <w:sz w:val="24"/>
          <w:szCs w:val="24"/>
          <w:lang w:eastAsia="ko-KR"/>
        </w:rPr>
        <w:t xml:space="preserve"> Discussion on </w:t>
      </w:r>
      <w:r w:rsidR="00D306FF">
        <w:rPr>
          <w:rFonts w:cs="Arial"/>
          <w:b/>
          <w:sz w:val="24"/>
          <w:szCs w:val="24"/>
          <w:lang w:eastAsia="ko-KR"/>
        </w:rPr>
        <w:t>uplink timing advance</w:t>
      </w:r>
      <w:r w:rsidR="00437E90" w:rsidRPr="00DA1914">
        <w:rPr>
          <w:rFonts w:cs="Arial"/>
          <w:b/>
          <w:sz w:val="24"/>
          <w:szCs w:val="24"/>
          <w:lang w:eastAsia="ko-KR"/>
        </w:rPr>
        <w:t xml:space="preserve"> for NTN</w:t>
      </w:r>
    </w:p>
    <w:p w14:paraId="50687687" w14:textId="50CE7526" w:rsidR="00F2358D" w:rsidRPr="00B41541" w:rsidRDefault="00F2358D" w:rsidP="00F2358D">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w:t>
      </w:r>
      <w:r w:rsidR="00CF5BF1">
        <w:rPr>
          <w:rFonts w:cs="Arial"/>
          <w:b/>
          <w:sz w:val="24"/>
          <w:szCs w:val="24"/>
          <w:lang w:eastAsia="ko-KR"/>
        </w:rPr>
        <w:t>2</w:t>
      </w:r>
      <w:r w:rsidR="00B16E86">
        <w:rPr>
          <w:rFonts w:cs="Arial"/>
          <w:b/>
          <w:sz w:val="24"/>
          <w:szCs w:val="24"/>
          <w:lang w:eastAsia="ko-KR"/>
        </w:rPr>
        <w:t>.5.</w:t>
      </w:r>
      <w:r w:rsidR="00831354">
        <w:rPr>
          <w:rFonts w:cs="Arial"/>
          <w:b/>
          <w:sz w:val="24"/>
          <w:szCs w:val="24"/>
          <w:lang w:eastAsia="ko-KR"/>
        </w:rPr>
        <w:t>3</w:t>
      </w:r>
    </w:p>
    <w:bookmarkEnd w:id="0"/>
    <w:p w14:paraId="6517A5D3" w14:textId="77777777" w:rsidR="003731EE" w:rsidRPr="00AA30A7" w:rsidRDefault="003731EE" w:rsidP="003731EE">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6402ADB" w14:textId="04E99C53" w:rsidR="009F7296" w:rsidRDefault="009F7296" w:rsidP="009F7296">
      <w:pPr>
        <w:rPr>
          <w:szCs w:val="22"/>
          <w:lang w:eastAsia="ko-KR"/>
        </w:rPr>
      </w:pPr>
      <w:r w:rsidRPr="009F7296">
        <w:rPr>
          <w:szCs w:val="22"/>
          <w:lang w:eastAsia="ko-KR"/>
        </w:rPr>
        <w:t xml:space="preserve">In RAN1#98, the following has been agreed on the uplink timing </w:t>
      </w:r>
      <w:proofErr w:type="gramStart"/>
      <w:r w:rsidRPr="009F7296">
        <w:rPr>
          <w:szCs w:val="22"/>
          <w:lang w:eastAsia="ko-KR"/>
        </w:rPr>
        <w:t>advance</w:t>
      </w:r>
      <w:r w:rsidR="00FE7E07">
        <w:rPr>
          <w:szCs w:val="22"/>
          <w:lang w:eastAsia="ko-KR"/>
        </w:rPr>
        <w:t>[</w:t>
      </w:r>
      <w:proofErr w:type="gramEnd"/>
      <w:r w:rsidR="00FE7E07">
        <w:rPr>
          <w:szCs w:val="22"/>
          <w:lang w:eastAsia="ko-KR"/>
        </w:rPr>
        <w:t>1]</w:t>
      </w:r>
      <w:r w:rsidRPr="009F7296">
        <w:rPr>
          <w:szCs w:val="22"/>
          <w:lang w:eastAsia="ko-KR"/>
        </w:rPr>
        <w:t>.</w:t>
      </w:r>
    </w:p>
    <w:tbl>
      <w:tblPr>
        <w:tblStyle w:val="af9"/>
        <w:tblW w:w="0" w:type="auto"/>
        <w:tblLook w:val="04A0" w:firstRow="1" w:lastRow="0" w:firstColumn="1" w:lastColumn="0" w:noHBand="0" w:noVBand="1"/>
      </w:tblPr>
      <w:tblGrid>
        <w:gridCol w:w="9962"/>
      </w:tblGrid>
      <w:tr w:rsidR="009F7296" w14:paraId="4BB8C1DC" w14:textId="77777777" w:rsidTr="009F7296">
        <w:tc>
          <w:tcPr>
            <w:tcW w:w="9962" w:type="dxa"/>
          </w:tcPr>
          <w:p w14:paraId="7A54F91D" w14:textId="77777777" w:rsidR="009F7296" w:rsidRDefault="009F7296" w:rsidP="009F7296">
            <w:pPr>
              <w:spacing w:after="0" w:line="240" w:lineRule="auto"/>
              <w:rPr>
                <w:lang w:eastAsia="x-none"/>
              </w:rPr>
            </w:pPr>
            <w:r w:rsidRPr="00EB5A6B">
              <w:rPr>
                <w:highlight w:val="green"/>
                <w:lang w:eastAsia="x-none"/>
              </w:rPr>
              <w:t>Agreement:</w:t>
            </w:r>
          </w:p>
          <w:p w14:paraId="28E5B9CF" w14:textId="77777777" w:rsidR="009F7296" w:rsidRDefault="009F7296" w:rsidP="009F7296">
            <w:pPr>
              <w:spacing w:after="0" w:line="240" w:lineRule="auto"/>
              <w:rPr>
                <w:lang w:eastAsia="x-none"/>
              </w:rPr>
            </w:pPr>
            <w:r>
              <w:rPr>
                <w:lang w:eastAsia="x-none"/>
              </w:rPr>
              <w:t>Following options can be considered to support TA adjustment for UL transmission:</w:t>
            </w:r>
          </w:p>
          <w:p w14:paraId="1015FFD0" w14:textId="77777777" w:rsidR="009F7296" w:rsidRDefault="009F7296" w:rsidP="009F7296">
            <w:pPr>
              <w:numPr>
                <w:ilvl w:val="0"/>
                <w:numId w:val="12"/>
              </w:numPr>
              <w:spacing w:after="0" w:line="240" w:lineRule="auto"/>
              <w:jc w:val="left"/>
              <w:rPr>
                <w:lang w:eastAsia="x-none"/>
              </w:rPr>
            </w:pPr>
            <w:r>
              <w:rPr>
                <w:lang w:eastAsia="x-none"/>
              </w:rPr>
              <w:t>Option 1</w:t>
            </w:r>
          </w:p>
          <w:p w14:paraId="37037839" w14:textId="77777777" w:rsidR="009F7296" w:rsidRDefault="009F7296" w:rsidP="009F7296">
            <w:pPr>
              <w:numPr>
                <w:ilvl w:val="1"/>
                <w:numId w:val="12"/>
              </w:numPr>
              <w:spacing w:after="0" w:line="240" w:lineRule="auto"/>
              <w:jc w:val="left"/>
              <w:rPr>
                <w:lang w:eastAsia="x-none"/>
              </w:rPr>
            </w:pPr>
            <w:r>
              <w:rPr>
                <w:lang w:eastAsia="x-none"/>
              </w:rPr>
              <w:t xml:space="preserve">Autonomous acquisition of the TA at UE with known location and satellite ephemeris:   </w:t>
            </w:r>
          </w:p>
          <w:p w14:paraId="1B27FC40" w14:textId="77777777" w:rsidR="009F7296" w:rsidRDefault="009F7296" w:rsidP="009F7296">
            <w:pPr>
              <w:numPr>
                <w:ilvl w:val="2"/>
                <w:numId w:val="12"/>
              </w:numPr>
              <w:spacing w:after="0" w:line="240" w:lineRule="auto"/>
              <w:jc w:val="left"/>
              <w:rPr>
                <w:lang w:eastAsia="x-none"/>
              </w:rPr>
            </w:pPr>
            <w:r>
              <w:rPr>
                <w:lang w:eastAsia="x-none"/>
              </w:rPr>
              <w:t xml:space="preserve">FFS: how to compensate the TA, e.g., full TA or only UE-specific differential TA </w:t>
            </w:r>
          </w:p>
          <w:p w14:paraId="6804D90C" w14:textId="77777777" w:rsidR="009F7296" w:rsidRDefault="009F7296" w:rsidP="009F7296">
            <w:pPr>
              <w:numPr>
                <w:ilvl w:val="3"/>
                <w:numId w:val="12"/>
              </w:numPr>
              <w:spacing w:after="0" w:line="240" w:lineRule="auto"/>
              <w:jc w:val="left"/>
              <w:rPr>
                <w:lang w:eastAsia="x-none"/>
              </w:rPr>
            </w:pPr>
            <w:r>
              <w:rPr>
                <w:lang w:eastAsia="x-none"/>
              </w:rPr>
              <w:t xml:space="preserve">Note: </w:t>
            </w:r>
            <w:proofErr w:type="gramStart"/>
            <w:r>
              <w:rPr>
                <w:lang w:eastAsia="x-none"/>
              </w:rPr>
              <w:t xml:space="preserve">If only UE-specific differential TA is compensated, timing offset between </w:t>
            </w:r>
            <w:proofErr w:type="spellStart"/>
            <w:r>
              <w:rPr>
                <w:lang w:eastAsia="x-none"/>
              </w:rPr>
              <w:t>gNB</w:t>
            </w:r>
            <w:proofErr w:type="spellEnd"/>
            <w:r>
              <w:rPr>
                <w:lang w:eastAsia="x-none"/>
              </w:rPr>
              <w:t xml:space="preserve"> DL and UL frame should be managed by network</w:t>
            </w:r>
            <w:proofErr w:type="gramEnd"/>
            <w:r>
              <w:rPr>
                <w:lang w:eastAsia="x-none"/>
              </w:rPr>
              <w:t xml:space="preserve"> and acquisition of common TA is needed.</w:t>
            </w:r>
          </w:p>
          <w:p w14:paraId="1D078B3C" w14:textId="77777777" w:rsidR="009F7296" w:rsidRDefault="009F7296" w:rsidP="009F7296">
            <w:pPr>
              <w:numPr>
                <w:ilvl w:val="2"/>
                <w:numId w:val="12"/>
              </w:numPr>
              <w:spacing w:after="0" w:line="240" w:lineRule="auto"/>
              <w:jc w:val="left"/>
              <w:rPr>
                <w:lang w:eastAsia="x-none"/>
              </w:rPr>
            </w:pPr>
            <w:r>
              <w:rPr>
                <w:lang w:eastAsia="x-none"/>
              </w:rPr>
              <w:t xml:space="preserve">FFS: additional TA </w:t>
            </w:r>
            <w:proofErr w:type="spellStart"/>
            <w:r>
              <w:rPr>
                <w:lang w:eastAsia="x-none"/>
              </w:rPr>
              <w:t>signalling</w:t>
            </w:r>
            <w:proofErr w:type="spellEnd"/>
            <w:r>
              <w:rPr>
                <w:lang w:eastAsia="x-none"/>
              </w:rPr>
              <w:t xml:space="preserve"> from BS considering the potential inaccuracy.</w:t>
            </w:r>
          </w:p>
          <w:p w14:paraId="45754986" w14:textId="77777777" w:rsidR="009F7296" w:rsidRDefault="009F7296" w:rsidP="009F7296">
            <w:pPr>
              <w:numPr>
                <w:ilvl w:val="0"/>
                <w:numId w:val="12"/>
              </w:numPr>
              <w:spacing w:after="0" w:line="240" w:lineRule="auto"/>
              <w:jc w:val="left"/>
              <w:rPr>
                <w:lang w:eastAsia="x-none"/>
              </w:rPr>
            </w:pPr>
            <w:r>
              <w:rPr>
                <w:lang w:eastAsia="x-none"/>
              </w:rPr>
              <w:t>Option 2</w:t>
            </w:r>
          </w:p>
          <w:p w14:paraId="3F927385" w14:textId="77777777" w:rsidR="009F7296" w:rsidRDefault="009F7296" w:rsidP="009F7296">
            <w:pPr>
              <w:numPr>
                <w:ilvl w:val="1"/>
                <w:numId w:val="12"/>
              </w:numPr>
              <w:spacing w:after="0" w:line="240" w:lineRule="auto"/>
              <w:jc w:val="left"/>
              <w:rPr>
                <w:lang w:eastAsia="x-none"/>
              </w:rPr>
            </w:pPr>
            <w:r>
              <w:rPr>
                <w:lang w:eastAsia="x-none"/>
              </w:rPr>
              <w:t xml:space="preserve">Indication of common TA to all users within the coverage of the same beam with broadcasting as a baseline for </w:t>
            </w:r>
            <w:proofErr w:type="spellStart"/>
            <w:r>
              <w:rPr>
                <w:lang w:eastAsia="x-none"/>
              </w:rPr>
              <w:t>signalling</w:t>
            </w:r>
            <w:proofErr w:type="spellEnd"/>
            <w:r>
              <w:rPr>
                <w:lang w:eastAsia="x-none"/>
              </w:rPr>
              <w:t>, e.g., via SIB/MIB</w:t>
            </w:r>
          </w:p>
          <w:p w14:paraId="706686FC" w14:textId="77777777" w:rsidR="009F7296" w:rsidRDefault="009F7296" w:rsidP="009F7296">
            <w:pPr>
              <w:numPr>
                <w:ilvl w:val="2"/>
                <w:numId w:val="12"/>
              </w:numPr>
              <w:spacing w:after="0" w:line="240" w:lineRule="auto"/>
              <w:jc w:val="left"/>
              <w:rPr>
                <w:lang w:eastAsia="x-none"/>
              </w:rPr>
            </w:pPr>
            <w:r>
              <w:rPr>
                <w:lang w:eastAsia="x-none"/>
              </w:rPr>
              <w:t xml:space="preserve">FFS: additional UE-specific differential TA </w:t>
            </w:r>
            <w:proofErr w:type="spellStart"/>
            <w:r>
              <w:rPr>
                <w:lang w:eastAsia="x-none"/>
              </w:rPr>
              <w:t>signalling</w:t>
            </w:r>
            <w:proofErr w:type="spellEnd"/>
            <w:r>
              <w:rPr>
                <w:lang w:eastAsia="x-none"/>
              </w:rPr>
              <w:t xml:space="preserve"> from BS.</w:t>
            </w:r>
          </w:p>
          <w:p w14:paraId="2855714D" w14:textId="77777777" w:rsidR="009F7296" w:rsidRDefault="009F7296" w:rsidP="009F7296">
            <w:pPr>
              <w:numPr>
                <w:ilvl w:val="2"/>
                <w:numId w:val="12"/>
              </w:numPr>
              <w:spacing w:after="0" w:line="240" w:lineRule="auto"/>
              <w:jc w:val="left"/>
              <w:rPr>
                <w:lang w:eastAsia="x-none"/>
              </w:rPr>
            </w:pPr>
            <w:r>
              <w:rPr>
                <w:lang w:eastAsia="x-none"/>
              </w:rPr>
              <w:t>FFS: the reference point(s)  for common TA calculation</w:t>
            </w:r>
          </w:p>
          <w:p w14:paraId="70E86545" w14:textId="77777777" w:rsidR="009F7296" w:rsidRDefault="009F7296" w:rsidP="009F7296">
            <w:pPr>
              <w:numPr>
                <w:ilvl w:val="0"/>
                <w:numId w:val="12"/>
              </w:numPr>
              <w:spacing w:after="0" w:line="240" w:lineRule="auto"/>
              <w:jc w:val="left"/>
              <w:rPr>
                <w:lang w:eastAsia="x-none"/>
              </w:rPr>
            </w:pPr>
            <w:r>
              <w:rPr>
                <w:lang w:eastAsia="x-none"/>
              </w:rPr>
              <w:t>Additional enhancements to existing TA signaling in Rel-15 can be considered for TA maintenance</w:t>
            </w:r>
          </w:p>
          <w:p w14:paraId="1E820127" w14:textId="77777777" w:rsidR="009F7296" w:rsidRDefault="009F7296" w:rsidP="009F7296">
            <w:pPr>
              <w:numPr>
                <w:ilvl w:val="1"/>
                <w:numId w:val="12"/>
              </w:numPr>
              <w:spacing w:after="0" w:line="240" w:lineRule="auto"/>
              <w:jc w:val="left"/>
              <w:rPr>
                <w:lang w:eastAsia="x-none"/>
              </w:rPr>
            </w:pPr>
            <w:r>
              <w:rPr>
                <w:lang w:eastAsia="x-none"/>
              </w:rPr>
              <w:t xml:space="preserve">Parameters indicated by </w:t>
            </w:r>
            <w:proofErr w:type="spellStart"/>
            <w:r>
              <w:rPr>
                <w:lang w:eastAsia="x-none"/>
              </w:rPr>
              <w:t>gNB</w:t>
            </w:r>
            <w:proofErr w:type="spellEnd"/>
            <w:r>
              <w:rPr>
                <w:lang w:eastAsia="x-none"/>
              </w:rPr>
              <w:t xml:space="preserve"> to enable the TA adjustment</w:t>
            </w:r>
          </w:p>
          <w:p w14:paraId="0DE600C8" w14:textId="25D59B5A" w:rsidR="009F7296" w:rsidRDefault="009F7296" w:rsidP="009F7296">
            <w:pPr>
              <w:numPr>
                <w:ilvl w:val="1"/>
                <w:numId w:val="12"/>
              </w:numPr>
              <w:spacing w:after="0" w:line="240" w:lineRule="auto"/>
              <w:jc w:val="left"/>
              <w:rPr>
                <w:szCs w:val="22"/>
                <w:lang w:eastAsia="ko-KR"/>
              </w:rPr>
            </w:pPr>
            <w:r>
              <w:rPr>
                <w:lang w:eastAsia="x-none"/>
              </w:rPr>
              <w:t xml:space="preserve">Cell/UE-group specific </w:t>
            </w:r>
            <w:proofErr w:type="spellStart"/>
            <w:r>
              <w:rPr>
                <w:lang w:eastAsia="x-none"/>
              </w:rPr>
              <w:t>signalling</w:t>
            </w:r>
            <w:proofErr w:type="spellEnd"/>
          </w:p>
        </w:tc>
      </w:tr>
    </w:tbl>
    <w:p w14:paraId="66E3D90B" w14:textId="77777777" w:rsidR="009F7296" w:rsidRPr="009F7296" w:rsidRDefault="009F7296" w:rsidP="009F7296">
      <w:pPr>
        <w:rPr>
          <w:szCs w:val="22"/>
          <w:lang w:eastAsia="ko-KR"/>
        </w:rPr>
      </w:pPr>
    </w:p>
    <w:p w14:paraId="05041A6B" w14:textId="583C776C" w:rsidR="002F531B" w:rsidRPr="0076674A" w:rsidRDefault="009F7296" w:rsidP="0003686A">
      <w:pPr>
        <w:rPr>
          <w:szCs w:val="22"/>
          <w:lang w:eastAsia="ko-KR"/>
        </w:rPr>
      </w:pPr>
      <w:r w:rsidRPr="009F7296">
        <w:rPr>
          <w:szCs w:val="22"/>
          <w:lang w:eastAsia="ko-KR"/>
        </w:rPr>
        <w:t xml:space="preserve">In addition, the following parameters </w:t>
      </w:r>
      <w:proofErr w:type="gramStart"/>
      <w:r w:rsidRPr="009F7296">
        <w:rPr>
          <w:szCs w:val="22"/>
          <w:lang w:eastAsia="ko-KR"/>
        </w:rPr>
        <w:t>were agreed</w:t>
      </w:r>
      <w:proofErr w:type="gramEnd"/>
      <w:r w:rsidRPr="009F7296">
        <w:rPr>
          <w:szCs w:val="22"/>
          <w:lang w:eastAsia="ko-KR"/>
        </w:rPr>
        <w:t xml:space="preserve"> for the differential delay in RAN2#107</w:t>
      </w:r>
      <w:r w:rsidR="00FE7E07">
        <w:rPr>
          <w:szCs w:val="22"/>
          <w:lang w:eastAsia="ko-KR"/>
        </w:rPr>
        <w:t>[2]</w:t>
      </w:r>
      <w:r w:rsidRPr="009F7296">
        <w:rPr>
          <w:szCs w:val="22"/>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544"/>
        <w:gridCol w:w="4155"/>
      </w:tblGrid>
      <w:tr w:rsidR="0076674A" w:rsidRPr="00774170" w14:paraId="74E043C8" w14:textId="77777777" w:rsidTr="0076674A">
        <w:trPr>
          <w:cantSplit/>
          <w:jc w:val="center"/>
        </w:trPr>
        <w:tc>
          <w:tcPr>
            <w:tcW w:w="2263" w:type="dxa"/>
            <w:shd w:val="clear" w:color="auto" w:fill="auto"/>
            <w:vAlign w:val="center"/>
          </w:tcPr>
          <w:p w14:paraId="61245AFF" w14:textId="40774E2D" w:rsidR="0076674A" w:rsidRPr="00774170" w:rsidRDefault="0076674A" w:rsidP="0076674A">
            <w:pPr>
              <w:spacing w:line="240" w:lineRule="auto"/>
              <w:rPr>
                <w:rFonts w:eastAsia="Calibri"/>
              </w:rPr>
            </w:pPr>
            <w:r w:rsidRPr="00A1344B">
              <w:rPr>
                <w:rFonts w:eastAsia="Calibri"/>
              </w:rPr>
              <w:t>Scenarios</w:t>
            </w:r>
          </w:p>
        </w:tc>
        <w:tc>
          <w:tcPr>
            <w:tcW w:w="3544" w:type="dxa"/>
            <w:shd w:val="clear" w:color="auto" w:fill="auto"/>
            <w:vAlign w:val="center"/>
          </w:tcPr>
          <w:p w14:paraId="4AC3DA61" w14:textId="3BFEFCA6" w:rsidR="0076674A" w:rsidRDefault="0076674A" w:rsidP="0076674A">
            <w:pPr>
              <w:spacing w:line="240" w:lineRule="auto"/>
              <w:rPr>
                <w:rFonts w:eastAsia="Calibri"/>
              </w:rPr>
            </w:pPr>
            <w:r w:rsidRPr="006904D3">
              <w:rPr>
                <w:rFonts w:eastAsia="Calibri"/>
              </w:rPr>
              <w:t>GEO based non-terrestrial access network (Scenario A and B)</w:t>
            </w:r>
          </w:p>
        </w:tc>
        <w:tc>
          <w:tcPr>
            <w:tcW w:w="4155" w:type="dxa"/>
            <w:shd w:val="clear" w:color="auto" w:fill="auto"/>
            <w:vAlign w:val="center"/>
          </w:tcPr>
          <w:p w14:paraId="569D8ABC" w14:textId="402F4026" w:rsidR="0076674A" w:rsidRPr="00490DFE" w:rsidRDefault="0076674A" w:rsidP="0076674A">
            <w:pPr>
              <w:spacing w:line="240" w:lineRule="auto"/>
              <w:rPr>
                <w:rFonts w:eastAsia="Calibri"/>
              </w:rPr>
            </w:pPr>
            <w:r w:rsidRPr="00774170">
              <w:rPr>
                <w:rFonts w:eastAsia="Calibri"/>
              </w:rPr>
              <w:t>LEO based non-terrestrial access network (Scenario C &amp; D)</w:t>
            </w:r>
          </w:p>
        </w:tc>
      </w:tr>
      <w:tr w:rsidR="0076674A" w:rsidRPr="00774170" w14:paraId="0B611B7F" w14:textId="77777777" w:rsidTr="0076674A">
        <w:trPr>
          <w:cantSplit/>
          <w:jc w:val="center"/>
        </w:trPr>
        <w:tc>
          <w:tcPr>
            <w:tcW w:w="2263" w:type="dxa"/>
            <w:shd w:val="clear" w:color="auto" w:fill="auto"/>
            <w:vAlign w:val="center"/>
          </w:tcPr>
          <w:p w14:paraId="6787C0F5" w14:textId="5D7CBE1D" w:rsidR="0076674A" w:rsidRPr="00774170" w:rsidRDefault="0076674A" w:rsidP="0076674A">
            <w:pPr>
              <w:spacing w:line="240" w:lineRule="auto"/>
              <w:rPr>
                <w:rFonts w:eastAsia="Calibri"/>
              </w:rPr>
            </w:pPr>
            <w:r w:rsidRPr="00774170">
              <w:rPr>
                <w:rFonts w:eastAsia="Calibri"/>
              </w:rPr>
              <w:t xml:space="preserve">Max differential delay within a </w:t>
            </w:r>
            <w:r>
              <w:rPr>
                <w:rFonts w:eastAsia="Calibri"/>
              </w:rPr>
              <w:t xml:space="preserve">cell </w:t>
            </w:r>
          </w:p>
        </w:tc>
        <w:tc>
          <w:tcPr>
            <w:tcW w:w="3544" w:type="dxa"/>
            <w:shd w:val="clear" w:color="auto" w:fill="auto"/>
            <w:vAlign w:val="center"/>
          </w:tcPr>
          <w:p w14:paraId="5E0264B3" w14:textId="77777777" w:rsidR="0076674A" w:rsidRPr="00774170" w:rsidRDefault="0076674A" w:rsidP="0076674A">
            <w:pPr>
              <w:spacing w:line="240" w:lineRule="auto"/>
              <w:rPr>
                <w:rFonts w:eastAsia="Calibri"/>
              </w:rPr>
            </w:pPr>
            <w:r>
              <w:rPr>
                <w:rFonts w:eastAsia="Calibri"/>
              </w:rPr>
              <w:t>10.3</w:t>
            </w:r>
            <w:r w:rsidRPr="00490DFE">
              <w:rPr>
                <w:rFonts w:eastAsia="Calibri"/>
              </w:rPr>
              <w:t xml:space="preserve"> </w:t>
            </w:r>
            <w:proofErr w:type="spellStart"/>
            <w:r w:rsidRPr="00490DFE">
              <w:rPr>
                <w:rFonts w:eastAsia="Calibri"/>
              </w:rPr>
              <w:t>ms</w:t>
            </w:r>
            <w:proofErr w:type="spellEnd"/>
          </w:p>
        </w:tc>
        <w:tc>
          <w:tcPr>
            <w:tcW w:w="4155" w:type="dxa"/>
            <w:shd w:val="clear" w:color="auto" w:fill="auto"/>
            <w:vAlign w:val="center"/>
          </w:tcPr>
          <w:p w14:paraId="1CDDFDDF" w14:textId="77777777" w:rsidR="0076674A" w:rsidRPr="00774170" w:rsidRDefault="0076674A" w:rsidP="0076674A">
            <w:pPr>
              <w:spacing w:line="240" w:lineRule="auto"/>
              <w:rPr>
                <w:rFonts w:eastAsia="Calibri"/>
              </w:rPr>
            </w:pPr>
            <w:r w:rsidRPr="00490DFE">
              <w:rPr>
                <w:rFonts w:eastAsia="Calibri"/>
              </w:rPr>
              <w:t xml:space="preserve">3.12 </w:t>
            </w:r>
            <w:proofErr w:type="spellStart"/>
            <w:r w:rsidRPr="00490DFE">
              <w:rPr>
                <w:rFonts w:eastAsia="Calibri"/>
              </w:rPr>
              <w:t>ms</w:t>
            </w:r>
            <w:proofErr w:type="spellEnd"/>
            <w:r>
              <w:rPr>
                <w:rFonts w:eastAsia="Calibri"/>
              </w:rPr>
              <w:t xml:space="preserve"> and </w:t>
            </w:r>
            <w:r w:rsidRPr="00490DFE">
              <w:t>3.1</w:t>
            </w:r>
            <w:r>
              <w:t>8</w:t>
            </w:r>
            <w:r w:rsidRPr="00490DFE">
              <w:t xml:space="preserve"> </w:t>
            </w:r>
            <w:proofErr w:type="spellStart"/>
            <w:r w:rsidRPr="00490DFE">
              <w:t>ms</w:t>
            </w:r>
            <w:proofErr w:type="spellEnd"/>
            <w:r w:rsidRPr="00490DFE">
              <w:rPr>
                <w:rFonts w:eastAsia="Calibri"/>
              </w:rPr>
              <w:t xml:space="preserve"> </w:t>
            </w:r>
            <w:r>
              <w:rPr>
                <w:rFonts w:eastAsia="Calibri"/>
              </w:rPr>
              <w:t xml:space="preserve">for respectively </w:t>
            </w:r>
            <w:r w:rsidRPr="00774170">
              <w:rPr>
                <w:rFonts w:eastAsia="Calibri"/>
              </w:rPr>
              <w:t>600km and 1200km</w:t>
            </w:r>
          </w:p>
        </w:tc>
      </w:tr>
    </w:tbl>
    <w:p w14:paraId="0D7FD672" w14:textId="07FD5984" w:rsidR="009F7296" w:rsidRDefault="009F7296" w:rsidP="0003686A">
      <w:pPr>
        <w:rPr>
          <w:szCs w:val="22"/>
          <w:lang w:eastAsia="ko-KR"/>
        </w:rPr>
      </w:pPr>
    </w:p>
    <w:p w14:paraId="1D5FDFDE" w14:textId="227D9D63" w:rsidR="0043633B" w:rsidRDefault="0043633B" w:rsidP="0003686A">
      <w:pPr>
        <w:rPr>
          <w:szCs w:val="22"/>
          <w:lang w:eastAsia="ko-KR"/>
        </w:rPr>
      </w:pPr>
      <w:r>
        <w:rPr>
          <w:szCs w:val="22"/>
          <w:lang w:eastAsia="ko-KR"/>
        </w:rPr>
        <w:t>With these elements</w:t>
      </w:r>
      <w:r w:rsidRPr="00314121">
        <w:rPr>
          <w:szCs w:val="22"/>
          <w:lang w:eastAsia="ko-KR"/>
        </w:rPr>
        <w:t>,</w:t>
      </w:r>
      <w:r>
        <w:rPr>
          <w:szCs w:val="22"/>
          <w:lang w:eastAsia="ko-KR"/>
        </w:rPr>
        <w:t xml:space="preserve"> we discuss further issues for more details.</w:t>
      </w:r>
    </w:p>
    <w:p w14:paraId="480BA566" w14:textId="77777777" w:rsidR="00B435DD" w:rsidRPr="0043633B" w:rsidRDefault="00B435DD" w:rsidP="0003686A">
      <w:pPr>
        <w:rPr>
          <w:szCs w:val="22"/>
          <w:lang w:eastAsia="ko-KR"/>
        </w:rPr>
      </w:pP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1A664B05" w14:textId="4BED1876" w:rsidR="00C1566F" w:rsidRPr="00C1566F" w:rsidRDefault="00C1566F" w:rsidP="00C1566F">
      <w:pPr>
        <w:spacing w:before="120" w:after="120" w:line="240" w:lineRule="auto"/>
        <w:rPr>
          <w:rFonts w:eastAsia="맑은 고딕"/>
          <w:lang w:eastAsia="ko-KR"/>
        </w:rPr>
      </w:pPr>
      <w:r w:rsidRPr="00C1566F">
        <w:rPr>
          <w:rFonts w:eastAsia="맑은 고딕"/>
          <w:lang w:eastAsia="ko-KR"/>
        </w:rPr>
        <w:t>[3]</w:t>
      </w:r>
      <w:r w:rsidR="009827B3">
        <w:rPr>
          <w:rFonts w:eastAsia="맑은 고딕"/>
          <w:lang w:eastAsia="ko-KR"/>
        </w:rPr>
        <w:t xml:space="preserve"> </w:t>
      </w:r>
      <w:proofErr w:type="gramStart"/>
      <w:r w:rsidR="009827B3">
        <w:rPr>
          <w:rFonts w:eastAsia="맑은 고딕"/>
          <w:lang w:eastAsia="ko-KR"/>
        </w:rPr>
        <w:t>presents</w:t>
      </w:r>
      <w:proofErr w:type="gramEnd"/>
      <w:r w:rsidRPr="00C1566F">
        <w:rPr>
          <w:rFonts w:eastAsia="맑은 고딕"/>
          <w:lang w:eastAsia="ko-KR"/>
        </w:rPr>
        <w:t xml:space="preserve"> the relationship between satellite beams, NR cells, and NR beams. As shown in [3], </w:t>
      </w:r>
      <w:r w:rsidR="009827B3">
        <w:rPr>
          <w:rFonts w:eastAsia="맑은 고딕"/>
          <w:lang w:eastAsia="ko-KR"/>
        </w:rPr>
        <w:t>multiple</w:t>
      </w:r>
      <w:r w:rsidRPr="00C1566F">
        <w:rPr>
          <w:rFonts w:eastAsia="맑은 고딕"/>
          <w:lang w:eastAsia="ko-KR"/>
        </w:rPr>
        <w:t xml:space="preserve"> satellite beams </w:t>
      </w:r>
      <w:proofErr w:type="gramStart"/>
      <w:r w:rsidRPr="00C1566F">
        <w:rPr>
          <w:rFonts w:eastAsia="맑은 고딕"/>
          <w:lang w:eastAsia="ko-KR"/>
        </w:rPr>
        <w:t>may be mapped</w:t>
      </w:r>
      <w:proofErr w:type="gramEnd"/>
      <w:r w:rsidRPr="00C1566F">
        <w:rPr>
          <w:rFonts w:eastAsia="맑은 고딕"/>
          <w:lang w:eastAsia="ko-KR"/>
        </w:rPr>
        <w:t xml:space="preserve"> to one NR beam in one cell. Alternatively, multiple satellite beams </w:t>
      </w:r>
      <w:proofErr w:type="gramStart"/>
      <w:r w:rsidRPr="00C1566F">
        <w:rPr>
          <w:rFonts w:eastAsia="맑은 고딕"/>
          <w:lang w:eastAsia="ko-KR"/>
        </w:rPr>
        <w:t>may be mapped</w:t>
      </w:r>
      <w:proofErr w:type="gramEnd"/>
      <w:r w:rsidRPr="00C1566F">
        <w:rPr>
          <w:rFonts w:eastAsia="맑은 고딕"/>
          <w:lang w:eastAsia="ko-KR"/>
        </w:rPr>
        <w:t xml:space="preserve"> to multiple NR beams. The </w:t>
      </w:r>
      <w:r w:rsidR="009827B3">
        <w:rPr>
          <w:rFonts w:eastAsia="맑은 고딕"/>
          <w:lang w:eastAsia="ko-KR"/>
        </w:rPr>
        <w:t>UE</w:t>
      </w:r>
      <w:r w:rsidRPr="00C1566F">
        <w:rPr>
          <w:rFonts w:eastAsia="맑은 고딕"/>
          <w:lang w:eastAsia="ko-KR"/>
        </w:rPr>
        <w:t xml:space="preserve"> recognizes the NR beam.</w:t>
      </w:r>
    </w:p>
    <w:p w14:paraId="28750D9D" w14:textId="50D0E94B" w:rsidR="0024223A" w:rsidRDefault="00C1566F" w:rsidP="00C1566F">
      <w:pPr>
        <w:spacing w:before="120" w:after="120" w:line="240" w:lineRule="auto"/>
        <w:rPr>
          <w:rFonts w:eastAsia="맑은 고딕"/>
          <w:lang w:eastAsia="ko-KR"/>
        </w:rPr>
      </w:pPr>
      <w:r w:rsidRPr="00C1566F">
        <w:rPr>
          <w:rFonts w:eastAsia="맑은 고딕"/>
          <w:lang w:eastAsia="ko-KR"/>
        </w:rPr>
        <w:t xml:space="preserve">When the common TA </w:t>
      </w:r>
      <w:proofErr w:type="gramStart"/>
      <w:r w:rsidRPr="00C1566F">
        <w:rPr>
          <w:rFonts w:eastAsia="맑은 고딕"/>
          <w:lang w:eastAsia="ko-KR"/>
        </w:rPr>
        <w:t>is broadcast</w:t>
      </w:r>
      <w:proofErr w:type="gramEnd"/>
      <w:r w:rsidRPr="00C1566F">
        <w:rPr>
          <w:rFonts w:eastAsia="맑은 고딕"/>
          <w:lang w:eastAsia="ko-KR"/>
        </w:rPr>
        <w:t xml:space="preserve"> through SIB or MIB to all </w:t>
      </w:r>
      <w:r w:rsidR="009827B3">
        <w:rPr>
          <w:rFonts w:eastAsia="맑은 고딕"/>
          <w:lang w:eastAsia="ko-KR"/>
        </w:rPr>
        <w:t>UEs</w:t>
      </w:r>
      <w:r w:rsidRPr="00C1566F">
        <w:rPr>
          <w:rFonts w:eastAsia="맑은 고딕"/>
          <w:lang w:eastAsia="ko-KR"/>
        </w:rPr>
        <w:t xml:space="preserve"> within the coverage of the same beam, the </w:t>
      </w:r>
      <w:r w:rsidR="009827B3">
        <w:rPr>
          <w:rFonts w:eastAsia="맑은 고딕"/>
          <w:lang w:eastAsia="ko-KR"/>
        </w:rPr>
        <w:t>UE</w:t>
      </w:r>
      <w:r w:rsidRPr="00C1566F">
        <w:rPr>
          <w:rFonts w:eastAsia="맑은 고딕"/>
          <w:lang w:eastAsia="ko-KR"/>
        </w:rPr>
        <w:t xml:space="preserve"> </w:t>
      </w:r>
      <w:r w:rsidR="009827B3">
        <w:rPr>
          <w:rFonts w:eastAsia="맑은 고딕"/>
          <w:lang w:eastAsia="ko-KR"/>
        </w:rPr>
        <w:t xml:space="preserve">can recognize the </w:t>
      </w:r>
      <w:r w:rsidRPr="00C1566F">
        <w:rPr>
          <w:rFonts w:eastAsia="맑은 고딕"/>
          <w:lang w:eastAsia="ko-KR"/>
        </w:rPr>
        <w:t xml:space="preserve">common TA per SSB. </w:t>
      </w:r>
      <w:r w:rsidR="009827B3">
        <w:rPr>
          <w:rFonts w:eastAsia="맑은 고딕"/>
          <w:lang w:eastAsia="ko-KR"/>
        </w:rPr>
        <w:t>Therefore, if</w:t>
      </w:r>
      <w:r w:rsidRPr="00C1566F">
        <w:rPr>
          <w:rFonts w:eastAsia="맑은 고딕"/>
          <w:lang w:eastAsia="ko-KR"/>
        </w:rPr>
        <w:t xml:space="preserve"> one NR beam </w:t>
      </w:r>
      <w:proofErr w:type="gramStart"/>
      <w:r w:rsidR="009827B3">
        <w:rPr>
          <w:rFonts w:eastAsia="맑은 고딕"/>
          <w:lang w:eastAsia="ko-KR"/>
        </w:rPr>
        <w:t>is used</w:t>
      </w:r>
      <w:proofErr w:type="gramEnd"/>
      <w:r w:rsidR="009827B3">
        <w:rPr>
          <w:rFonts w:eastAsia="맑은 고딕"/>
          <w:lang w:eastAsia="ko-KR"/>
        </w:rPr>
        <w:t xml:space="preserve"> </w:t>
      </w:r>
      <w:r w:rsidRPr="00C1566F">
        <w:rPr>
          <w:rFonts w:eastAsia="맑은 고딕"/>
          <w:lang w:eastAsia="ko-KR"/>
        </w:rPr>
        <w:t xml:space="preserve">in two satellite beams, one common TA may be required. In addition, when using </w:t>
      </w:r>
      <w:r w:rsidR="009827B3">
        <w:rPr>
          <w:rFonts w:eastAsia="맑은 고딕"/>
          <w:lang w:eastAsia="ko-KR"/>
        </w:rPr>
        <w:t>multiple</w:t>
      </w:r>
      <w:r w:rsidRPr="00C1566F">
        <w:rPr>
          <w:rFonts w:eastAsia="맑은 고딕"/>
          <w:lang w:eastAsia="ko-KR"/>
        </w:rPr>
        <w:t xml:space="preserve"> NR beams, one common TA or </w:t>
      </w:r>
      <w:r w:rsidR="009827B3">
        <w:rPr>
          <w:rFonts w:eastAsia="맑은 고딕"/>
          <w:lang w:eastAsia="ko-KR"/>
        </w:rPr>
        <w:t xml:space="preserve">multiple </w:t>
      </w:r>
      <w:r w:rsidRPr="00C1566F">
        <w:rPr>
          <w:rFonts w:eastAsia="맑은 고딕"/>
          <w:lang w:eastAsia="ko-KR"/>
        </w:rPr>
        <w:t xml:space="preserve">common TAs may </w:t>
      </w:r>
      <w:r w:rsidRPr="00C1566F">
        <w:rPr>
          <w:rFonts w:eastAsia="맑은 고딕"/>
          <w:lang w:eastAsia="ko-KR"/>
        </w:rPr>
        <w:lastRenderedPageBreak/>
        <w:t>be required according to characteristics of beam</w:t>
      </w:r>
      <w:r w:rsidR="009827B3">
        <w:rPr>
          <w:rFonts w:eastAsia="맑은 고딕"/>
          <w:lang w:eastAsia="ko-KR"/>
        </w:rPr>
        <w:t>s</w:t>
      </w:r>
      <w:r w:rsidRPr="00C1566F">
        <w:rPr>
          <w:rFonts w:eastAsia="맑은 고딕"/>
          <w:lang w:eastAsia="ko-KR"/>
        </w:rPr>
        <w:t xml:space="preserve">. Accordingly, the </w:t>
      </w:r>
      <w:proofErr w:type="spellStart"/>
      <w:r>
        <w:rPr>
          <w:rFonts w:eastAsia="맑은 고딕"/>
          <w:lang w:eastAsia="ko-KR"/>
        </w:rPr>
        <w:t>gNB</w:t>
      </w:r>
      <w:proofErr w:type="spellEnd"/>
      <w:r w:rsidRPr="00C1566F">
        <w:rPr>
          <w:rFonts w:eastAsia="맑은 고딕"/>
          <w:lang w:eastAsia="ko-KR"/>
        </w:rPr>
        <w:t xml:space="preserve"> may adjust the number of broadcasted common TAs and may configure related information. This may be associated with the information of SSB.</w:t>
      </w:r>
    </w:p>
    <w:p w14:paraId="0AB72F82" w14:textId="77777777" w:rsidR="00C1566F" w:rsidRDefault="00C1566F" w:rsidP="00C1566F">
      <w:pPr>
        <w:spacing w:before="120" w:after="120" w:line="240" w:lineRule="auto"/>
        <w:rPr>
          <w:rFonts w:eastAsia="맑은 고딕"/>
          <w:lang w:eastAsia="ko-KR"/>
        </w:rPr>
      </w:pPr>
    </w:p>
    <w:p w14:paraId="464BFFF2" w14:textId="77777777" w:rsidR="00C1566F" w:rsidRDefault="00C1566F" w:rsidP="00C1566F">
      <w:pPr>
        <w:keepNext/>
        <w:spacing w:before="120" w:after="120" w:line="240" w:lineRule="auto"/>
      </w:pPr>
      <w:r>
        <w:rPr>
          <w:rFonts w:eastAsia="맑은 고딕"/>
          <w:noProof/>
          <w:lang w:eastAsia="ko-KR"/>
        </w:rPr>
        <w:drawing>
          <wp:inline distT="0" distB="0" distL="0" distR="0" wp14:anchorId="5337D1C7" wp14:editId="48AFDBB2">
            <wp:extent cx="6151880" cy="1086668"/>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7725" cy="1100065"/>
                    </a:xfrm>
                    <a:prstGeom prst="rect">
                      <a:avLst/>
                    </a:prstGeom>
                    <a:noFill/>
                  </pic:spPr>
                </pic:pic>
              </a:graphicData>
            </a:graphic>
          </wp:inline>
        </w:drawing>
      </w:r>
    </w:p>
    <w:p w14:paraId="49AAC008" w14:textId="44FCF6A6" w:rsidR="0024223A" w:rsidRPr="00C1566F" w:rsidRDefault="00C1566F" w:rsidP="00C1566F">
      <w:pPr>
        <w:pStyle w:val="ad"/>
        <w:jc w:val="center"/>
        <w:rPr>
          <w:b w:val="0"/>
        </w:rPr>
      </w:pPr>
      <w:r w:rsidRPr="00C1566F">
        <w:rPr>
          <w:b w:val="0"/>
        </w:rPr>
        <w:t xml:space="preserve">Fig. </w:t>
      </w:r>
      <w:r w:rsidRPr="00C1566F">
        <w:rPr>
          <w:b w:val="0"/>
        </w:rPr>
        <w:fldChar w:fldCharType="begin"/>
      </w:r>
      <w:r w:rsidRPr="00C1566F">
        <w:rPr>
          <w:b w:val="0"/>
        </w:rPr>
        <w:instrText xml:space="preserve"> SEQ Fig \* ARABIC </w:instrText>
      </w:r>
      <w:r w:rsidRPr="00C1566F">
        <w:rPr>
          <w:b w:val="0"/>
        </w:rPr>
        <w:fldChar w:fldCharType="separate"/>
      </w:r>
      <w:r w:rsidRPr="00C1566F">
        <w:rPr>
          <w:b w:val="0"/>
        </w:rPr>
        <w:t>1</w:t>
      </w:r>
      <w:r w:rsidRPr="00C1566F">
        <w:rPr>
          <w:b w:val="0"/>
        </w:rPr>
        <w:fldChar w:fldCharType="end"/>
      </w:r>
      <w:r w:rsidRPr="00C1566F">
        <w:rPr>
          <w:b w:val="0"/>
        </w:rPr>
        <w:t>. Relationship between satellite beams, NR cells, and NR beams</w:t>
      </w:r>
    </w:p>
    <w:p w14:paraId="0F60BDF9" w14:textId="66C10B79" w:rsidR="0024223A" w:rsidRDefault="0024223A" w:rsidP="0024223A">
      <w:pPr>
        <w:spacing w:before="120" w:after="120" w:line="240" w:lineRule="auto"/>
        <w:rPr>
          <w:rFonts w:eastAsia="맑은 고딕"/>
          <w:lang w:eastAsia="ko-KR"/>
        </w:rPr>
      </w:pPr>
    </w:p>
    <w:p w14:paraId="7481D172" w14:textId="6BF20DF3" w:rsidR="00A5384B" w:rsidRDefault="00A5384B" w:rsidP="0024223A">
      <w:pPr>
        <w:spacing w:before="120" w:after="120" w:line="240" w:lineRule="auto"/>
        <w:rPr>
          <w:rFonts w:eastAsia="맑은 고딕"/>
          <w:lang w:eastAsia="ko-KR"/>
        </w:rPr>
      </w:pPr>
      <w:r w:rsidRPr="00A5384B">
        <w:rPr>
          <w:rFonts w:eastAsia="맑은 고딕"/>
          <w:lang w:eastAsia="ko-KR"/>
        </w:rPr>
        <w:t xml:space="preserve">This configuration can also occur primarily in service links. In other words, the feeder link </w:t>
      </w:r>
      <w:proofErr w:type="gramStart"/>
      <w:r w:rsidRPr="00A5384B">
        <w:rPr>
          <w:rFonts w:eastAsia="맑은 고딕"/>
          <w:lang w:eastAsia="ko-KR"/>
        </w:rPr>
        <w:t>may be maintained</w:t>
      </w:r>
      <w:proofErr w:type="gramEnd"/>
      <w:r w:rsidRPr="00A5384B">
        <w:rPr>
          <w:rFonts w:eastAsia="맑은 고딕"/>
          <w:lang w:eastAsia="ko-KR"/>
        </w:rPr>
        <w:t xml:space="preserve"> as one common TA and the service link may be configurable to </w:t>
      </w:r>
      <w:r w:rsidR="0095051C">
        <w:rPr>
          <w:rFonts w:eastAsia="맑은 고딕"/>
          <w:lang w:eastAsia="ko-KR"/>
        </w:rPr>
        <w:t>multiple</w:t>
      </w:r>
      <w:r w:rsidRPr="00A5384B">
        <w:rPr>
          <w:rFonts w:eastAsia="맑은 고딕"/>
          <w:lang w:eastAsia="ko-KR"/>
        </w:rPr>
        <w:t xml:space="preserve"> common TA</w:t>
      </w:r>
      <w:r w:rsidR="0095051C">
        <w:rPr>
          <w:rFonts w:eastAsia="맑은 고딕"/>
          <w:lang w:eastAsia="ko-KR"/>
        </w:rPr>
        <w:t>s</w:t>
      </w:r>
      <w:r w:rsidRPr="00A5384B">
        <w:rPr>
          <w:rFonts w:eastAsia="맑은 고딕"/>
          <w:lang w:eastAsia="ko-KR"/>
        </w:rPr>
        <w:t xml:space="preserve"> according to NR beam</w:t>
      </w:r>
      <w:r w:rsidR="0095051C">
        <w:rPr>
          <w:rFonts w:eastAsia="맑은 고딕"/>
          <w:lang w:eastAsia="ko-KR"/>
        </w:rPr>
        <w:t>s</w:t>
      </w:r>
      <w:r w:rsidRPr="00A5384B">
        <w:rPr>
          <w:rFonts w:eastAsia="맑은 고딕"/>
          <w:lang w:eastAsia="ko-KR"/>
        </w:rPr>
        <w:t xml:space="preserve">. </w:t>
      </w:r>
      <w:r w:rsidR="0095051C" w:rsidRPr="0095051C">
        <w:rPr>
          <w:rFonts w:eastAsia="맑은 고딕"/>
          <w:lang w:eastAsia="ko-KR"/>
        </w:rPr>
        <w:t>Therefore, signaling that separates the common TA of the feeder link and the common TA of the service link may be useful in terms of overhead.</w:t>
      </w:r>
      <w:r w:rsidR="00DF6C63">
        <w:rPr>
          <w:rFonts w:eastAsia="맑은 고딕"/>
          <w:lang w:eastAsia="ko-KR"/>
        </w:rPr>
        <w:t xml:space="preserve"> </w:t>
      </w:r>
      <w:r w:rsidR="00DF6C63" w:rsidRPr="00DF6C63">
        <w:rPr>
          <w:rFonts w:eastAsia="맑은 고딕"/>
          <w:lang w:eastAsia="ko-KR"/>
        </w:rPr>
        <w:t>Broadcasting the common TA of the feeder</w:t>
      </w:r>
      <w:r w:rsidR="00DF6C63">
        <w:rPr>
          <w:rFonts w:eastAsia="맑은 고딕"/>
          <w:lang w:eastAsia="ko-KR"/>
        </w:rPr>
        <w:t xml:space="preserve"> </w:t>
      </w:r>
      <w:r w:rsidR="00DF6C63" w:rsidRPr="00DF6C63">
        <w:rPr>
          <w:rFonts w:eastAsia="맑은 고딕"/>
          <w:lang w:eastAsia="ko-KR"/>
        </w:rPr>
        <w:t xml:space="preserve">link separately </w:t>
      </w:r>
      <w:proofErr w:type="gramStart"/>
      <w:r w:rsidR="00DF6C63" w:rsidRPr="00DF6C63">
        <w:rPr>
          <w:rFonts w:eastAsia="맑은 고딕"/>
          <w:lang w:eastAsia="ko-KR"/>
        </w:rPr>
        <w:t>may be utilized</w:t>
      </w:r>
      <w:proofErr w:type="gramEnd"/>
      <w:r w:rsidR="00DF6C63" w:rsidRPr="00DF6C63">
        <w:rPr>
          <w:rFonts w:eastAsia="맑은 고딕"/>
          <w:lang w:eastAsia="ko-KR"/>
        </w:rPr>
        <w:t xml:space="preserve"> to consider only the RTT of the service link for UE-specific different</w:t>
      </w:r>
      <w:r w:rsidR="00DF6C63">
        <w:rPr>
          <w:rFonts w:eastAsia="맑은 고딕"/>
          <w:lang w:eastAsia="ko-KR"/>
        </w:rPr>
        <w:t>i</w:t>
      </w:r>
      <w:r w:rsidR="00DF6C63" w:rsidRPr="00DF6C63">
        <w:rPr>
          <w:rFonts w:eastAsia="맑은 고딕"/>
          <w:lang w:eastAsia="ko-KR"/>
        </w:rPr>
        <w:t>al TA.</w:t>
      </w:r>
    </w:p>
    <w:p w14:paraId="7060528C" w14:textId="77777777" w:rsidR="00A5384B" w:rsidRDefault="00A5384B" w:rsidP="0024223A">
      <w:pPr>
        <w:spacing w:before="120" w:after="120" w:line="240" w:lineRule="auto"/>
        <w:rPr>
          <w:rFonts w:eastAsia="맑은 고딕"/>
          <w:lang w:eastAsia="ko-KR"/>
        </w:rPr>
      </w:pPr>
    </w:p>
    <w:p w14:paraId="6C655890" w14:textId="2F88E49E" w:rsidR="00982C53" w:rsidRPr="00CB24F8" w:rsidRDefault="00982C53" w:rsidP="00C1566F">
      <w:pPr>
        <w:keepNext/>
        <w:keepLines/>
        <w:widowControl w:val="0"/>
        <w:tabs>
          <w:tab w:val="left" w:pos="1701"/>
        </w:tabs>
        <w:overflowPunct w:val="0"/>
        <w:autoSpaceDE w:val="0"/>
        <w:autoSpaceDN w:val="0"/>
        <w:adjustRightInd w:val="0"/>
        <w:spacing w:before="120" w:line="240" w:lineRule="auto"/>
        <w:ind w:left="1701" w:hanging="1701"/>
        <w:textAlignment w:val="baseline"/>
        <w:rPr>
          <w:color w:val="000000"/>
          <w:sz w:val="24"/>
          <w:lang w:eastAsia="ko-KR"/>
        </w:rPr>
      </w:pPr>
      <w:r w:rsidRPr="00CB24F8">
        <w:rPr>
          <w:rFonts w:eastAsia="바탕"/>
          <w:b/>
          <w:noProof/>
          <w:szCs w:val="22"/>
          <w:lang w:eastAsia="zh-CN"/>
        </w:rPr>
        <w:t>Proposal 1:</w:t>
      </w:r>
      <w:r w:rsidRPr="00CB24F8">
        <w:rPr>
          <w:rFonts w:eastAsia="바탕"/>
          <w:b/>
          <w:noProof/>
          <w:szCs w:val="22"/>
          <w:lang w:eastAsia="zh-CN"/>
        </w:rPr>
        <w:tab/>
      </w:r>
      <w:r w:rsidR="00C1566F">
        <w:rPr>
          <w:rFonts w:eastAsia="바탕"/>
          <w:b/>
          <w:noProof/>
          <w:szCs w:val="22"/>
          <w:lang w:eastAsia="zh-CN"/>
        </w:rPr>
        <w:t>T</w:t>
      </w:r>
      <w:r w:rsidR="00C1566F" w:rsidRPr="00C1566F">
        <w:rPr>
          <w:rFonts w:eastAsia="바탕"/>
          <w:b/>
          <w:noProof/>
          <w:szCs w:val="22"/>
          <w:lang w:eastAsia="zh-CN"/>
        </w:rPr>
        <w:t>he gNB may adjust the number of broadcasted common TAs and may configure</w:t>
      </w:r>
      <w:r w:rsidR="00C1566F">
        <w:rPr>
          <w:rFonts w:eastAsia="바탕"/>
          <w:b/>
          <w:noProof/>
          <w:szCs w:val="22"/>
          <w:lang w:eastAsia="zh-CN"/>
        </w:rPr>
        <w:t xml:space="preserve"> </w:t>
      </w:r>
      <w:r w:rsidR="00C1566F" w:rsidRPr="00C1566F">
        <w:rPr>
          <w:rFonts w:eastAsia="바탕"/>
          <w:b/>
          <w:noProof/>
          <w:szCs w:val="22"/>
          <w:lang w:eastAsia="zh-CN"/>
        </w:rPr>
        <w:t>related information. This may be associated with the information of SSB.</w:t>
      </w:r>
      <w:r w:rsidR="00A5384B">
        <w:rPr>
          <w:rFonts w:eastAsia="바탕"/>
          <w:b/>
          <w:noProof/>
          <w:szCs w:val="22"/>
          <w:lang w:eastAsia="zh-CN"/>
        </w:rPr>
        <w:t xml:space="preserve"> </w:t>
      </w:r>
      <w:r w:rsidR="00A5384B" w:rsidRPr="00A5384B">
        <w:rPr>
          <w:rFonts w:eastAsia="바탕"/>
          <w:b/>
          <w:noProof/>
          <w:szCs w:val="22"/>
          <w:lang w:eastAsia="zh-CN"/>
        </w:rPr>
        <w:t>In addition, it may be useful to configure a signal by separating the common TA of the feeder link and the common TA of the service link in terms of overhead.</w:t>
      </w:r>
    </w:p>
    <w:p w14:paraId="1F16CA7E" w14:textId="77777777" w:rsidR="00A26497" w:rsidRPr="00982C53" w:rsidRDefault="00A26497" w:rsidP="00657D6D">
      <w:pPr>
        <w:spacing w:before="120" w:after="120" w:line="240" w:lineRule="auto"/>
        <w:rPr>
          <w:rFonts w:eastAsia="맑은 고딕"/>
          <w:lang w:eastAsia="ko-KR"/>
        </w:rPr>
      </w:pPr>
    </w:p>
    <w:p w14:paraId="68205846" w14:textId="7CF66197" w:rsidR="00967F0E" w:rsidRDefault="007D52C9" w:rsidP="00426C88">
      <w:pPr>
        <w:spacing w:before="120" w:after="120" w:line="240" w:lineRule="auto"/>
        <w:rPr>
          <w:rFonts w:eastAsia="맑은 고딕"/>
          <w:lang w:eastAsia="ko-KR"/>
        </w:rPr>
      </w:pPr>
      <w:r w:rsidRPr="007D52C9">
        <w:rPr>
          <w:rFonts w:eastAsia="맑은 고딕"/>
          <w:lang w:eastAsia="ko-KR"/>
        </w:rPr>
        <w:t xml:space="preserve">The common TA </w:t>
      </w:r>
      <w:proofErr w:type="gramStart"/>
      <w:r w:rsidRPr="007D52C9">
        <w:rPr>
          <w:rFonts w:eastAsia="맑은 고딕"/>
          <w:lang w:eastAsia="ko-KR"/>
        </w:rPr>
        <w:t>may be used</w:t>
      </w:r>
      <w:proofErr w:type="gramEnd"/>
      <w:r w:rsidRPr="007D52C9">
        <w:rPr>
          <w:rFonts w:eastAsia="맑은 고딕"/>
          <w:lang w:eastAsia="ko-KR"/>
        </w:rPr>
        <w:t xml:space="preserve"> for the RACH preamble transmission time</w:t>
      </w:r>
      <w:r>
        <w:rPr>
          <w:rFonts w:eastAsia="맑은 고딕"/>
          <w:lang w:eastAsia="ko-KR"/>
        </w:rPr>
        <w:t>,</w:t>
      </w:r>
      <w:r w:rsidRPr="007D52C9">
        <w:rPr>
          <w:rFonts w:eastAsia="맑은 고딕"/>
          <w:lang w:eastAsia="ko-KR"/>
        </w:rPr>
        <w:t xml:space="preserve"> monitoring starting time offset</w:t>
      </w:r>
      <w:r>
        <w:rPr>
          <w:rFonts w:eastAsia="맑은 고딕"/>
          <w:lang w:eastAsia="ko-KR"/>
        </w:rPr>
        <w:t xml:space="preserve"> for </w:t>
      </w:r>
      <w:r w:rsidR="00442BBD">
        <w:rPr>
          <w:rFonts w:eastAsia="맑은 고딕"/>
          <w:lang w:eastAsia="ko-KR"/>
        </w:rPr>
        <w:t xml:space="preserve">RAR, Msg4, </w:t>
      </w:r>
      <w:proofErr w:type="spellStart"/>
      <w:r w:rsidRPr="007D52C9">
        <w:rPr>
          <w:rFonts w:eastAsia="맑은 고딕"/>
          <w:lang w:eastAsia="ko-KR"/>
        </w:rPr>
        <w:t>MsgB</w:t>
      </w:r>
      <w:proofErr w:type="spellEnd"/>
      <w:r w:rsidR="00442BBD">
        <w:rPr>
          <w:rFonts w:eastAsia="맑은 고딕"/>
          <w:lang w:eastAsia="ko-KR"/>
        </w:rPr>
        <w:t>, and beam management</w:t>
      </w:r>
      <w:r>
        <w:rPr>
          <w:rFonts w:eastAsia="맑은 고딕"/>
          <w:lang w:eastAsia="ko-KR"/>
        </w:rPr>
        <w:t>,</w:t>
      </w:r>
      <w:r w:rsidRPr="007D52C9">
        <w:rPr>
          <w:rFonts w:eastAsia="맑은 고딕"/>
          <w:lang w:eastAsia="ko-KR"/>
        </w:rPr>
        <w:t xml:space="preserve"> and scheduling offset.</w:t>
      </w:r>
      <w:r>
        <w:rPr>
          <w:rFonts w:eastAsia="맑은 고딕"/>
          <w:lang w:eastAsia="ko-KR"/>
        </w:rPr>
        <w:t xml:space="preserve"> </w:t>
      </w:r>
      <w:r w:rsidR="00161A1C" w:rsidRPr="00161A1C">
        <w:rPr>
          <w:rFonts w:eastAsia="맑은 고딕"/>
          <w:lang w:eastAsia="ko-KR"/>
        </w:rPr>
        <w:t xml:space="preserve">When </w:t>
      </w:r>
      <w:r w:rsidR="00161A1C">
        <w:rPr>
          <w:rFonts w:eastAsia="맑은 고딕"/>
          <w:lang w:eastAsia="ko-KR"/>
        </w:rPr>
        <w:t>the</w:t>
      </w:r>
      <w:r w:rsidR="00161A1C" w:rsidRPr="00161A1C">
        <w:rPr>
          <w:rFonts w:eastAsia="맑은 고딕"/>
          <w:lang w:eastAsia="ko-KR"/>
        </w:rPr>
        <w:t xml:space="preserve"> UE </w:t>
      </w:r>
      <w:r w:rsidR="00161A1C">
        <w:rPr>
          <w:rFonts w:eastAsia="맑은 고딕"/>
          <w:lang w:eastAsia="ko-KR"/>
        </w:rPr>
        <w:t>without</w:t>
      </w:r>
      <w:r w:rsidR="00161A1C" w:rsidRPr="00161A1C">
        <w:rPr>
          <w:rFonts w:eastAsia="맑은 고딕"/>
          <w:lang w:eastAsia="ko-KR"/>
        </w:rPr>
        <w:t xml:space="preserve"> location information transmits </w:t>
      </w:r>
      <w:r w:rsidR="00161A1C">
        <w:rPr>
          <w:rFonts w:eastAsia="맑은 고딕"/>
          <w:lang w:eastAsia="ko-KR"/>
        </w:rPr>
        <w:t>the</w:t>
      </w:r>
      <w:r w:rsidR="00161A1C" w:rsidRPr="00161A1C">
        <w:rPr>
          <w:rFonts w:eastAsia="맑은 고딕"/>
          <w:lang w:eastAsia="ko-KR"/>
        </w:rPr>
        <w:t xml:space="preserve"> RACH preamble, it </w:t>
      </w:r>
      <w:proofErr w:type="gramStart"/>
      <w:r w:rsidR="00161A1C" w:rsidRPr="00161A1C">
        <w:rPr>
          <w:rFonts w:eastAsia="맑은 고딕"/>
          <w:lang w:eastAsia="ko-KR"/>
        </w:rPr>
        <w:t>may be transmitted</w:t>
      </w:r>
      <w:proofErr w:type="gramEnd"/>
      <w:r w:rsidR="00161A1C" w:rsidRPr="00161A1C">
        <w:rPr>
          <w:rFonts w:eastAsia="맑은 고딕"/>
          <w:lang w:eastAsia="ko-KR"/>
        </w:rPr>
        <w:t xml:space="preserve"> at a time earlier as </w:t>
      </w:r>
      <w:r w:rsidR="00161A1C">
        <w:rPr>
          <w:rFonts w:eastAsia="맑은 고딕"/>
          <w:lang w:eastAsia="ko-KR"/>
        </w:rPr>
        <w:t xml:space="preserve">the </w:t>
      </w:r>
      <w:r w:rsidR="00161A1C" w:rsidRPr="00161A1C">
        <w:rPr>
          <w:rFonts w:eastAsia="맑은 고딕"/>
          <w:lang w:eastAsia="ko-KR"/>
        </w:rPr>
        <w:t>common TA than the corresponding RACH occasion.</w:t>
      </w:r>
      <w:r w:rsidR="00854E8A" w:rsidRPr="00854E8A">
        <w:rPr>
          <w:rFonts w:eastAsia="맑은 고딕"/>
          <w:lang w:eastAsia="ko-KR"/>
        </w:rPr>
        <w:t xml:space="preserve"> The UE with location information may transmit as soon as the estimated TA. In this case, the </w:t>
      </w:r>
      <w:proofErr w:type="spellStart"/>
      <w:r w:rsidR="00161A1C">
        <w:rPr>
          <w:rFonts w:eastAsia="맑은 고딕"/>
          <w:lang w:eastAsia="ko-KR"/>
        </w:rPr>
        <w:t>gNB</w:t>
      </w:r>
      <w:proofErr w:type="spellEnd"/>
      <w:r w:rsidR="00854E8A" w:rsidRPr="00854E8A">
        <w:rPr>
          <w:rFonts w:eastAsia="맑은 고딕"/>
          <w:lang w:eastAsia="ko-KR"/>
        </w:rPr>
        <w:t xml:space="preserve"> transmits the estimated TA value through the RAR. The estimated TA value can result in a differential TA. On initial access in NR, the timing advance command consists of index values ​​from </w:t>
      </w:r>
      <w:proofErr w:type="gramStart"/>
      <w:r w:rsidR="00854E8A" w:rsidRPr="00854E8A">
        <w:rPr>
          <w:rFonts w:eastAsia="맑은 고딕"/>
          <w:lang w:eastAsia="ko-KR"/>
        </w:rPr>
        <w:t>0</w:t>
      </w:r>
      <w:proofErr w:type="gramEnd"/>
      <w:r w:rsidR="00854E8A" w:rsidRPr="00854E8A">
        <w:rPr>
          <w:rFonts w:eastAsia="맑은 고딕"/>
          <w:lang w:eastAsia="ko-KR"/>
        </w:rPr>
        <w:t xml:space="preserve"> to 3846. </w:t>
      </w:r>
      <w:r w:rsidR="004A388B" w:rsidRPr="004A388B">
        <w:rPr>
          <w:rFonts w:eastAsia="맑은 고딕"/>
          <w:lang w:eastAsia="ko-KR"/>
        </w:rPr>
        <w:t xml:space="preserve">When the UE transmits </w:t>
      </w:r>
      <w:r w:rsidR="004A388B" w:rsidRPr="00161A1C">
        <w:rPr>
          <w:rFonts w:eastAsia="맑은 고딕"/>
          <w:lang w:eastAsia="ko-KR"/>
        </w:rPr>
        <w:t xml:space="preserve">at a time earlier as </w:t>
      </w:r>
      <w:r w:rsidR="004A388B">
        <w:rPr>
          <w:rFonts w:eastAsia="맑은 고딕"/>
          <w:lang w:eastAsia="ko-KR"/>
        </w:rPr>
        <w:t xml:space="preserve">the </w:t>
      </w:r>
      <w:r w:rsidR="004A388B" w:rsidRPr="004A388B">
        <w:rPr>
          <w:rFonts w:eastAsia="맑은 고딕"/>
          <w:lang w:eastAsia="ko-KR"/>
        </w:rPr>
        <w:t xml:space="preserve">common TA or the </w:t>
      </w:r>
      <w:r w:rsidR="004A388B">
        <w:rPr>
          <w:rFonts w:eastAsia="맑은 고딕"/>
          <w:lang w:eastAsia="ko-KR"/>
        </w:rPr>
        <w:t>estimated</w:t>
      </w:r>
      <w:r w:rsidR="004A388B" w:rsidRPr="004A388B">
        <w:rPr>
          <w:rFonts w:eastAsia="맑은 고딕"/>
          <w:lang w:eastAsia="ko-KR"/>
        </w:rPr>
        <w:t xml:space="preserve"> TA</w:t>
      </w:r>
      <w:r w:rsidR="004A388B">
        <w:rPr>
          <w:rFonts w:eastAsia="맑은 고딕"/>
          <w:lang w:eastAsia="ko-KR"/>
        </w:rPr>
        <w:t>, i</w:t>
      </w:r>
      <w:r w:rsidR="004A388B" w:rsidRPr="004A388B">
        <w:rPr>
          <w:rFonts w:eastAsia="맑은 고딕"/>
          <w:lang w:eastAsia="ko-KR"/>
        </w:rPr>
        <w:t xml:space="preserve">t may arrive earlier than the expected </w:t>
      </w:r>
      <w:r w:rsidR="004A388B">
        <w:rPr>
          <w:rFonts w:eastAsia="맑은 고딕"/>
          <w:lang w:eastAsia="ko-KR"/>
        </w:rPr>
        <w:t>received</w:t>
      </w:r>
      <w:r w:rsidR="004A388B" w:rsidRPr="004A388B">
        <w:rPr>
          <w:rFonts w:eastAsia="맑은 고딕"/>
          <w:lang w:eastAsia="ko-KR"/>
        </w:rPr>
        <w:t xml:space="preserve"> time of the </w:t>
      </w:r>
      <w:proofErr w:type="spellStart"/>
      <w:r w:rsidR="004A388B">
        <w:rPr>
          <w:rFonts w:eastAsia="맑은 고딕"/>
          <w:lang w:eastAsia="ko-KR"/>
        </w:rPr>
        <w:t>gNB</w:t>
      </w:r>
      <w:proofErr w:type="spellEnd"/>
      <w:r w:rsidR="004A388B">
        <w:rPr>
          <w:rFonts w:eastAsia="맑은 고딕"/>
          <w:lang w:eastAsia="ko-KR"/>
        </w:rPr>
        <w:t xml:space="preserve"> due to t</w:t>
      </w:r>
      <w:r w:rsidR="004A388B" w:rsidRPr="004A388B">
        <w:rPr>
          <w:rFonts w:eastAsia="맑은 고딕"/>
          <w:lang w:eastAsia="ko-KR"/>
        </w:rPr>
        <w:t>he definition</w:t>
      </w:r>
      <w:r w:rsidR="004A388B">
        <w:rPr>
          <w:rFonts w:eastAsia="맑은 고딕"/>
          <w:lang w:eastAsia="ko-KR"/>
        </w:rPr>
        <w:t xml:space="preserve"> of common TA </w:t>
      </w:r>
      <w:r w:rsidR="004A388B" w:rsidRPr="004A388B">
        <w:rPr>
          <w:rFonts w:eastAsia="맑은 고딕"/>
          <w:lang w:eastAsia="ko-KR"/>
        </w:rPr>
        <w:t>or estimation error.</w:t>
      </w:r>
      <w:r w:rsidR="004A388B">
        <w:rPr>
          <w:rFonts w:eastAsia="맑은 고딕"/>
          <w:lang w:eastAsia="ko-KR"/>
        </w:rPr>
        <w:t xml:space="preserve"> </w:t>
      </w:r>
      <w:r w:rsidR="00854E8A" w:rsidRPr="00854E8A">
        <w:rPr>
          <w:rFonts w:eastAsia="맑은 고딕"/>
          <w:lang w:eastAsia="ko-KR"/>
        </w:rPr>
        <w:t>Since the TAC is composed of only positive values</w:t>
      </w:r>
      <w:r w:rsidR="004A388B">
        <w:rPr>
          <w:rFonts w:eastAsia="맑은 고딕"/>
          <w:lang w:eastAsia="ko-KR"/>
        </w:rPr>
        <w:t xml:space="preserve"> for initial access</w:t>
      </w:r>
      <w:r w:rsidR="00854E8A" w:rsidRPr="00854E8A">
        <w:rPr>
          <w:rFonts w:eastAsia="맑은 고딕"/>
          <w:lang w:eastAsia="ko-KR"/>
        </w:rPr>
        <w:t xml:space="preserve">, </w:t>
      </w:r>
      <w:r w:rsidR="004A388B" w:rsidRPr="004A388B">
        <w:rPr>
          <w:rFonts w:eastAsia="맑은 고딕"/>
          <w:lang w:eastAsia="ko-KR"/>
        </w:rPr>
        <w:t>it may be needed the negative values.</w:t>
      </w:r>
      <w:r w:rsidR="00854E8A" w:rsidRPr="00854E8A">
        <w:rPr>
          <w:rFonts w:eastAsia="맑은 고딕"/>
          <w:lang w:eastAsia="ko-KR"/>
        </w:rPr>
        <w:t xml:space="preserve"> Alternatively, the </w:t>
      </w:r>
      <w:r w:rsidR="00DF077E">
        <w:rPr>
          <w:rFonts w:eastAsia="맑은 고딕"/>
          <w:lang w:eastAsia="ko-KR"/>
        </w:rPr>
        <w:t>UE</w:t>
      </w:r>
      <w:r w:rsidR="00854E8A" w:rsidRPr="00854E8A">
        <w:rPr>
          <w:rFonts w:eastAsia="맑은 고딕"/>
          <w:lang w:eastAsia="ko-KR"/>
        </w:rPr>
        <w:t xml:space="preserve"> may transmit a bit later than a predetermined value, which may be an implementation issue.</w:t>
      </w:r>
    </w:p>
    <w:p w14:paraId="4F26C1FF" w14:textId="77777777" w:rsidR="00854E8A" w:rsidRPr="00DF077E" w:rsidRDefault="00854E8A" w:rsidP="00426C88">
      <w:pPr>
        <w:spacing w:before="120" w:after="120" w:line="240" w:lineRule="auto"/>
        <w:rPr>
          <w:rFonts w:eastAsia="맑은 고딕"/>
          <w:lang w:eastAsia="ko-KR"/>
        </w:rPr>
      </w:pPr>
    </w:p>
    <w:p w14:paraId="3A67F7F9" w14:textId="262A2C36" w:rsidR="00A26497" w:rsidRPr="00854E8A" w:rsidRDefault="00A26497" w:rsidP="00854E8A">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sidR="00967F0E">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007D52C9" w:rsidRPr="007D52C9">
        <w:rPr>
          <w:rFonts w:eastAsia="맑은 고딕"/>
          <w:b/>
          <w:lang w:eastAsia="ko-KR"/>
        </w:rPr>
        <w:t xml:space="preserve">The common TA </w:t>
      </w:r>
      <w:proofErr w:type="gramStart"/>
      <w:r w:rsidR="007D52C9" w:rsidRPr="007D52C9">
        <w:rPr>
          <w:rFonts w:eastAsia="맑은 고딕"/>
          <w:b/>
          <w:lang w:eastAsia="ko-KR"/>
        </w:rPr>
        <w:t>may be used</w:t>
      </w:r>
      <w:proofErr w:type="gramEnd"/>
      <w:r w:rsidR="007D52C9" w:rsidRPr="007D52C9">
        <w:rPr>
          <w:rFonts w:eastAsia="맑은 고딕"/>
          <w:b/>
          <w:lang w:eastAsia="ko-KR"/>
        </w:rPr>
        <w:t xml:space="preserve"> for the RACH preamble transmission time, monitoring starting time offset for </w:t>
      </w:r>
      <w:r w:rsidR="00442BBD">
        <w:rPr>
          <w:rFonts w:eastAsia="맑은 고딕"/>
          <w:b/>
          <w:lang w:eastAsia="ko-KR"/>
        </w:rPr>
        <w:t xml:space="preserve">RAR, Msg4, </w:t>
      </w:r>
      <w:proofErr w:type="spellStart"/>
      <w:r w:rsidR="007D52C9" w:rsidRPr="007D52C9">
        <w:rPr>
          <w:rFonts w:eastAsia="맑은 고딕"/>
          <w:b/>
          <w:lang w:eastAsia="ko-KR"/>
        </w:rPr>
        <w:t>MsgB</w:t>
      </w:r>
      <w:proofErr w:type="spellEnd"/>
      <w:r w:rsidR="007D52C9" w:rsidRPr="007D52C9">
        <w:rPr>
          <w:rFonts w:eastAsia="맑은 고딕"/>
          <w:b/>
          <w:lang w:eastAsia="ko-KR"/>
        </w:rPr>
        <w:t>,</w:t>
      </w:r>
      <w:r w:rsidR="00442BBD">
        <w:rPr>
          <w:rFonts w:eastAsia="맑은 고딕"/>
          <w:b/>
          <w:lang w:eastAsia="ko-KR"/>
        </w:rPr>
        <w:t xml:space="preserve"> and beam management,</w:t>
      </w:r>
      <w:r w:rsidR="007D52C9" w:rsidRPr="007D52C9">
        <w:rPr>
          <w:rFonts w:eastAsia="맑은 고딕"/>
          <w:b/>
          <w:lang w:eastAsia="ko-KR"/>
        </w:rPr>
        <w:t xml:space="preserve"> and scheduling offset.</w:t>
      </w:r>
      <w:r w:rsidR="007D52C9">
        <w:rPr>
          <w:rFonts w:eastAsia="맑은 고딕"/>
          <w:lang w:eastAsia="ko-KR"/>
        </w:rPr>
        <w:t xml:space="preserve"> </w:t>
      </w:r>
      <w:r w:rsidR="00854E8A" w:rsidRPr="00854E8A">
        <w:rPr>
          <w:rFonts w:eastAsia="바탕"/>
          <w:b/>
          <w:noProof/>
          <w:szCs w:val="22"/>
          <w:lang w:eastAsia="zh-CN"/>
        </w:rPr>
        <w:t>When configuring UE-specific differential TA signaling in initial access, the RACH preamble transmission time of UE may be considered.</w:t>
      </w:r>
    </w:p>
    <w:p w14:paraId="69ED4D2D" w14:textId="77777777" w:rsidR="00A26497" w:rsidRDefault="00A26497" w:rsidP="00A75F27">
      <w:pPr>
        <w:spacing w:before="120" w:after="120" w:line="240" w:lineRule="auto"/>
        <w:rPr>
          <w:rFonts w:eastAsia="맑은 고딕"/>
          <w:lang w:eastAsia="ko-KR"/>
        </w:rPr>
      </w:pPr>
    </w:p>
    <w:p w14:paraId="0460BDF1" w14:textId="4D57804B" w:rsidR="002A2845" w:rsidRDefault="002A2845" w:rsidP="002A2845">
      <w:pPr>
        <w:spacing w:before="120" w:after="120" w:line="240" w:lineRule="auto"/>
        <w:rPr>
          <w:rFonts w:eastAsia="맑은 고딕"/>
          <w:lang w:eastAsia="ko-KR"/>
        </w:rPr>
      </w:pPr>
      <w:r w:rsidRPr="002A2845">
        <w:rPr>
          <w:rFonts w:eastAsia="맑은 고딕"/>
          <w:lang w:eastAsia="ko-KR"/>
        </w:rPr>
        <w:t xml:space="preserve">When the common TA </w:t>
      </w:r>
      <w:proofErr w:type="gramStart"/>
      <w:r w:rsidRPr="002A2845">
        <w:rPr>
          <w:rFonts w:eastAsia="맑은 고딕"/>
          <w:lang w:eastAsia="ko-KR"/>
        </w:rPr>
        <w:t>is broadcast</w:t>
      </w:r>
      <w:proofErr w:type="gramEnd"/>
      <w:r w:rsidRPr="002A2845">
        <w:rPr>
          <w:rFonts w:eastAsia="맑은 고딕"/>
          <w:lang w:eastAsia="ko-KR"/>
        </w:rPr>
        <w:t xml:space="preserve"> in the LEO, the value of the common TA may change over time. This may</w:t>
      </w:r>
      <w:r w:rsidR="00FF602F">
        <w:rPr>
          <w:rFonts w:eastAsia="맑은 고딕"/>
          <w:lang w:eastAsia="ko-KR"/>
        </w:rPr>
        <w:t xml:space="preserve"> </w:t>
      </w:r>
      <w:r w:rsidRPr="002A2845">
        <w:rPr>
          <w:rFonts w:eastAsia="맑은 고딕"/>
          <w:lang w:eastAsia="ko-KR"/>
        </w:rPr>
        <w:t xml:space="preserve">depend on the definition of the common TA. </w:t>
      </w:r>
      <w:r w:rsidR="00076B5B" w:rsidRPr="00076B5B">
        <w:rPr>
          <w:rFonts w:eastAsia="맑은 고딕"/>
          <w:lang w:eastAsia="ko-KR"/>
        </w:rPr>
        <w:t xml:space="preserve">If the common TA is changed, </w:t>
      </w:r>
      <w:r w:rsidR="00076B5B">
        <w:rPr>
          <w:rFonts w:eastAsia="맑은 고딕"/>
          <w:lang w:eastAsia="ko-KR"/>
        </w:rPr>
        <w:t>the</w:t>
      </w:r>
      <w:r w:rsidR="00076B5B" w:rsidRPr="00076B5B">
        <w:rPr>
          <w:rFonts w:eastAsia="맑은 고딕"/>
          <w:lang w:eastAsia="ko-KR"/>
        </w:rPr>
        <w:t xml:space="preserve"> update to the common TA </w:t>
      </w:r>
      <w:proofErr w:type="gramStart"/>
      <w:r w:rsidR="00076B5B" w:rsidRPr="00076B5B">
        <w:rPr>
          <w:rFonts w:eastAsia="맑은 고딕"/>
          <w:lang w:eastAsia="ko-KR"/>
        </w:rPr>
        <w:t>is needed</w:t>
      </w:r>
      <w:proofErr w:type="gramEnd"/>
      <w:r w:rsidR="00076B5B" w:rsidRPr="00076B5B">
        <w:rPr>
          <w:rFonts w:eastAsia="맑은 고딕"/>
          <w:lang w:eastAsia="ko-KR"/>
        </w:rPr>
        <w:t>.</w:t>
      </w:r>
      <w:r w:rsidR="00076B5B">
        <w:rPr>
          <w:rFonts w:eastAsia="맑은 고딕"/>
          <w:lang w:eastAsia="ko-KR"/>
        </w:rPr>
        <w:t xml:space="preserve"> </w:t>
      </w:r>
      <w:r w:rsidRPr="002A2845">
        <w:rPr>
          <w:rFonts w:eastAsia="맑은 고딕"/>
          <w:lang w:eastAsia="ko-KR"/>
        </w:rPr>
        <w:t xml:space="preserve">In addition, when TA </w:t>
      </w:r>
      <w:r w:rsidR="00871D51">
        <w:rPr>
          <w:rFonts w:eastAsia="맑은 고딕"/>
          <w:lang w:eastAsia="ko-KR"/>
        </w:rPr>
        <w:t>maintenance</w:t>
      </w:r>
      <w:r w:rsidRPr="002A2845">
        <w:rPr>
          <w:rFonts w:eastAsia="맑은 고딕"/>
          <w:lang w:eastAsia="ko-KR"/>
        </w:rPr>
        <w:t xml:space="preserve"> </w:t>
      </w:r>
      <w:proofErr w:type="gramStart"/>
      <w:r w:rsidRPr="002A2845">
        <w:rPr>
          <w:rFonts w:eastAsia="맑은 고딕"/>
          <w:lang w:eastAsia="ko-KR"/>
        </w:rPr>
        <w:t>is performed</w:t>
      </w:r>
      <w:proofErr w:type="gramEnd"/>
      <w:r w:rsidRPr="002A2845">
        <w:rPr>
          <w:rFonts w:eastAsia="맑은 고딕"/>
          <w:lang w:eastAsia="ko-KR"/>
        </w:rPr>
        <w:t xml:space="preserve"> for the connected UE, the reflection of the updated common TA </w:t>
      </w:r>
      <w:r w:rsidR="00076B5B">
        <w:rPr>
          <w:rFonts w:eastAsia="맑은 고딕"/>
          <w:lang w:eastAsia="ko-KR"/>
        </w:rPr>
        <w:t>for</w:t>
      </w:r>
      <w:r w:rsidRPr="002A2845">
        <w:rPr>
          <w:rFonts w:eastAsia="맑은 고딕"/>
          <w:lang w:eastAsia="ko-KR"/>
        </w:rPr>
        <w:t xml:space="preserve"> </w:t>
      </w:r>
      <w:proofErr w:type="spellStart"/>
      <w:r w:rsidRPr="002A2845">
        <w:rPr>
          <w:rFonts w:eastAsia="맑은 고딕"/>
          <w:lang w:eastAsia="ko-KR"/>
        </w:rPr>
        <w:t>N</w:t>
      </w:r>
      <w:r w:rsidRPr="002A2845">
        <w:rPr>
          <w:rFonts w:eastAsia="맑은 고딕"/>
          <w:vertAlign w:val="subscript"/>
          <w:lang w:eastAsia="ko-KR"/>
        </w:rPr>
        <w:t>TA_new</w:t>
      </w:r>
      <w:proofErr w:type="spellEnd"/>
      <w:r w:rsidRPr="002A2845">
        <w:rPr>
          <w:rFonts w:eastAsia="맑은 고딕"/>
          <w:lang w:eastAsia="ko-KR"/>
        </w:rPr>
        <w:t xml:space="preserve"> and </w:t>
      </w:r>
      <w:proofErr w:type="spellStart"/>
      <w:r w:rsidRPr="002A2845">
        <w:rPr>
          <w:rFonts w:eastAsia="맑은 고딕"/>
          <w:lang w:eastAsia="ko-KR"/>
        </w:rPr>
        <w:t>N</w:t>
      </w:r>
      <w:r w:rsidRPr="002A2845">
        <w:rPr>
          <w:rFonts w:eastAsia="맑은 고딕"/>
          <w:vertAlign w:val="subscript"/>
          <w:lang w:eastAsia="ko-KR"/>
        </w:rPr>
        <w:t>TA_old</w:t>
      </w:r>
      <w:proofErr w:type="spellEnd"/>
      <w:r w:rsidRPr="002A2845">
        <w:rPr>
          <w:rFonts w:eastAsia="맑은 고딕"/>
          <w:lang w:eastAsia="ko-KR"/>
        </w:rPr>
        <w:t xml:space="preserve"> may be considered. </w:t>
      </w:r>
      <w:r w:rsidR="00076B5B" w:rsidRPr="00076B5B">
        <w:rPr>
          <w:rFonts w:eastAsia="맑은 고딕"/>
          <w:lang w:eastAsia="ko-KR"/>
        </w:rPr>
        <w:t xml:space="preserve">In this case, the updated common TA application timing between the UE and </w:t>
      </w:r>
      <w:r w:rsidR="00076B5B">
        <w:rPr>
          <w:rFonts w:eastAsia="맑은 고딕"/>
          <w:lang w:eastAsia="ko-KR"/>
        </w:rPr>
        <w:t>the</w:t>
      </w:r>
      <w:r w:rsidR="00076B5B" w:rsidRPr="00076B5B">
        <w:rPr>
          <w:rFonts w:eastAsia="맑은 고딕"/>
          <w:lang w:eastAsia="ko-KR"/>
        </w:rPr>
        <w:t xml:space="preserve"> </w:t>
      </w:r>
      <w:proofErr w:type="spellStart"/>
      <w:r w:rsidR="00076B5B" w:rsidRPr="00076B5B">
        <w:rPr>
          <w:rFonts w:eastAsia="맑은 고딕"/>
          <w:lang w:eastAsia="ko-KR"/>
        </w:rPr>
        <w:t>gNB</w:t>
      </w:r>
      <w:proofErr w:type="spellEnd"/>
      <w:r w:rsidR="00076B5B" w:rsidRPr="00076B5B">
        <w:rPr>
          <w:rFonts w:eastAsia="맑은 고딕"/>
          <w:lang w:eastAsia="ko-KR"/>
        </w:rPr>
        <w:t xml:space="preserve"> and signaling of common TA (SIB or MIB) may also be considered.</w:t>
      </w:r>
    </w:p>
    <w:p w14:paraId="7A412E8F" w14:textId="17DAD8A9" w:rsidR="002F531B" w:rsidRDefault="00180DCD" w:rsidP="002A2845">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lastRenderedPageBreak/>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002A2845" w:rsidRPr="002A2845">
        <w:rPr>
          <w:rFonts w:eastAsia="바탕"/>
          <w:b/>
          <w:noProof/>
          <w:szCs w:val="22"/>
          <w:lang w:eastAsia="zh-CN"/>
        </w:rPr>
        <w:t>In the case of LEO, the update of the common TA may be considered in the TA adjustment procedure.</w:t>
      </w:r>
    </w:p>
    <w:p w14:paraId="04A01A3C" w14:textId="1A744152" w:rsidR="002A2845" w:rsidRDefault="002A2845" w:rsidP="002A2845">
      <w:pPr>
        <w:spacing w:before="120" w:after="120" w:line="240" w:lineRule="auto"/>
        <w:rPr>
          <w:rFonts w:eastAsia="맑은 고딕"/>
          <w:lang w:eastAsia="ko-KR"/>
        </w:rPr>
      </w:pPr>
    </w:p>
    <w:p w14:paraId="78FAAE91" w14:textId="317796C6" w:rsidR="00244435" w:rsidRDefault="00244435" w:rsidP="002A2845">
      <w:pPr>
        <w:spacing w:before="120" w:after="120" w:line="240" w:lineRule="auto"/>
        <w:rPr>
          <w:rFonts w:eastAsia="맑은 고딕"/>
          <w:lang w:eastAsia="ko-KR"/>
        </w:rPr>
      </w:pPr>
      <w:r w:rsidRPr="00244435">
        <w:rPr>
          <w:rFonts w:eastAsia="맑은 고딕"/>
          <w:lang w:eastAsia="ko-KR"/>
        </w:rPr>
        <w:t xml:space="preserve">In RAN2 # 107, </w:t>
      </w:r>
      <w:r w:rsidR="00CC4578">
        <w:rPr>
          <w:rFonts w:eastAsia="맑은 고딕"/>
          <w:lang w:eastAsia="ko-KR"/>
        </w:rPr>
        <w:t>t</w:t>
      </w:r>
      <w:r w:rsidR="00CC4578" w:rsidRPr="00CC4578">
        <w:rPr>
          <w:rFonts w:eastAsia="맑은 고딕"/>
          <w:lang w:eastAsia="ko-KR"/>
        </w:rPr>
        <w:t xml:space="preserve">he maximum differential delay </w:t>
      </w:r>
      <w:proofErr w:type="gramStart"/>
      <w:r w:rsidR="00CC4578" w:rsidRPr="00CC4578">
        <w:rPr>
          <w:rFonts w:eastAsia="맑은 고딕"/>
          <w:lang w:eastAsia="ko-KR"/>
        </w:rPr>
        <w:t>was approved</w:t>
      </w:r>
      <w:proofErr w:type="gramEnd"/>
      <w:r w:rsidR="00CC4578" w:rsidRPr="00CC4578">
        <w:rPr>
          <w:rFonts w:eastAsia="맑은 고딕"/>
          <w:lang w:eastAsia="ko-KR"/>
        </w:rPr>
        <w:t xml:space="preserve"> to be 10.3 </w:t>
      </w:r>
      <w:proofErr w:type="spellStart"/>
      <w:r w:rsidR="00CC4578" w:rsidRPr="00CC4578">
        <w:rPr>
          <w:rFonts w:eastAsia="맑은 고딕"/>
          <w:lang w:eastAsia="ko-KR"/>
        </w:rPr>
        <w:t>ms</w:t>
      </w:r>
      <w:proofErr w:type="spellEnd"/>
      <w:r w:rsidR="00CC4578" w:rsidRPr="00CC4578">
        <w:rPr>
          <w:rFonts w:eastAsia="맑은 고딕"/>
          <w:lang w:eastAsia="ko-KR"/>
        </w:rPr>
        <w:t xml:space="preserve"> in GEO and 3.12 and 3.18 </w:t>
      </w:r>
      <w:proofErr w:type="spellStart"/>
      <w:r w:rsidR="00CC4578" w:rsidRPr="00CC4578">
        <w:rPr>
          <w:rFonts w:eastAsia="맑은 고딕"/>
          <w:lang w:eastAsia="ko-KR"/>
        </w:rPr>
        <w:t>ms</w:t>
      </w:r>
      <w:proofErr w:type="spellEnd"/>
      <w:r w:rsidR="00CC4578" w:rsidRPr="00CC4578">
        <w:rPr>
          <w:rFonts w:eastAsia="맑은 고딕"/>
          <w:lang w:eastAsia="ko-KR"/>
        </w:rPr>
        <w:t xml:space="preserve"> in LEO.</w:t>
      </w:r>
      <w:r w:rsidRPr="00244435">
        <w:rPr>
          <w:rFonts w:eastAsia="맑은 고딕"/>
          <w:lang w:eastAsia="ko-KR"/>
        </w:rPr>
        <w:t xml:space="preserve"> </w:t>
      </w:r>
      <w:r w:rsidR="00B63C6A" w:rsidRPr="00B63C6A">
        <w:rPr>
          <w:rFonts w:eastAsia="맑은 고딕"/>
          <w:lang w:eastAsia="ko-KR"/>
        </w:rPr>
        <w:t>Designing a new RACH preamble based on these parameters requires a variety of approaches in terms of overhead and performance.</w:t>
      </w:r>
      <w:r w:rsidR="00B63C6A">
        <w:rPr>
          <w:rFonts w:eastAsia="맑은 고딕"/>
          <w:lang w:eastAsia="ko-KR"/>
        </w:rPr>
        <w:t xml:space="preserve"> </w:t>
      </w:r>
      <w:r w:rsidR="00B63C6A" w:rsidRPr="00B63C6A">
        <w:rPr>
          <w:rFonts w:eastAsia="맑은 고딕"/>
          <w:lang w:eastAsia="ko-KR"/>
        </w:rPr>
        <w:t xml:space="preserve">For </w:t>
      </w:r>
      <w:r w:rsidR="00B63C6A">
        <w:rPr>
          <w:rFonts w:eastAsia="맑은 고딕"/>
          <w:lang w:eastAsia="ko-KR"/>
        </w:rPr>
        <w:t xml:space="preserve">UEs </w:t>
      </w:r>
      <w:r w:rsidR="00B63C6A" w:rsidRPr="00B63C6A">
        <w:rPr>
          <w:rFonts w:eastAsia="맑은 고딕"/>
          <w:lang w:eastAsia="ko-KR"/>
        </w:rPr>
        <w:t xml:space="preserve">without location information, an approach </w:t>
      </w:r>
      <w:proofErr w:type="gramStart"/>
      <w:r w:rsidR="00B63C6A" w:rsidRPr="00B63C6A">
        <w:rPr>
          <w:rFonts w:eastAsia="맑은 고딕"/>
          <w:lang w:eastAsia="ko-KR"/>
        </w:rPr>
        <w:t>may be needed</w:t>
      </w:r>
      <w:proofErr w:type="gramEnd"/>
      <w:r w:rsidR="00B63C6A" w:rsidRPr="00B63C6A">
        <w:rPr>
          <w:rFonts w:eastAsia="맑은 고딕"/>
          <w:lang w:eastAsia="ko-KR"/>
        </w:rPr>
        <w:t xml:space="preserve"> to reduce the maximum differential delay that the new RACH preamble should consider.</w:t>
      </w:r>
      <w:r w:rsidR="00B63C6A">
        <w:rPr>
          <w:rFonts w:eastAsia="맑은 고딕"/>
          <w:lang w:eastAsia="ko-KR"/>
        </w:rPr>
        <w:t xml:space="preserve"> </w:t>
      </w:r>
      <w:r w:rsidR="00B63C6A" w:rsidRPr="00244435">
        <w:rPr>
          <w:rFonts w:eastAsia="맑은 고딕"/>
          <w:lang w:eastAsia="ko-KR"/>
        </w:rPr>
        <w:t xml:space="preserve">For example, </w:t>
      </w:r>
      <w:r w:rsidR="00B63C6A" w:rsidRPr="00B63C6A">
        <w:rPr>
          <w:rFonts w:eastAsia="맑은 고딕"/>
          <w:lang w:eastAsia="ko-KR"/>
        </w:rPr>
        <w:t xml:space="preserve">a method of allocating the same RACH occasion for </w:t>
      </w:r>
      <w:r w:rsidR="00B63C6A">
        <w:rPr>
          <w:rFonts w:eastAsia="맑은 고딕"/>
          <w:lang w:eastAsia="ko-KR"/>
        </w:rPr>
        <w:t>UEs</w:t>
      </w:r>
      <w:r w:rsidR="00B63C6A" w:rsidRPr="00B63C6A">
        <w:rPr>
          <w:rFonts w:eastAsia="맑은 고딕"/>
          <w:lang w:eastAsia="ko-KR"/>
        </w:rPr>
        <w:t xml:space="preserve"> having similar differential delay may be considered</w:t>
      </w:r>
      <w:r w:rsidR="00B63C6A">
        <w:rPr>
          <w:rFonts w:eastAsia="맑은 고딕"/>
          <w:lang w:eastAsia="ko-KR"/>
        </w:rPr>
        <w:t xml:space="preserve">. </w:t>
      </w:r>
      <w:r w:rsidR="00B63C6A" w:rsidRPr="00B63C6A">
        <w:rPr>
          <w:rFonts w:eastAsia="맑은 고딕"/>
          <w:lang w:eastAsia="ko-KR"/>
        </w:rPr>
        <w:t xml:space="preserve">In this case, UEs without location information need to know where the corresponding RACH occasion is and a scheme for this </w:t>
      </w:r>
      <w:proofErr w:type="gramStart"/>
      <w:r w:rsidR="00B63C6A" w:rsidRPr="00B63C6A">
        <w:rPr>
          <w:rFonts w:eastAsia="맑은 고딕"/>
          <w:lang w:eastAsia="ko-KR"/>
        </w:rPr>
        <w:t>can be developed</w:t>
      </w:r>
      <w:proofErr w:type="gramEnd"/>
      <w:r w:rsidR="00B63C6A" w:rsidRPr="00B63C6A">
        <w:rPr>
          <w:rFonts w:eastAsia="맑은 고딕"/>
          <w:lang w:eastAsia="ko-KR"/>
        </w:rPr>
        <w:t>.</w:t>
      </w:r>
      <w:r w:rsidR="00B63C6A">
        <w:rPr>
          <w:rFonts w:eastAsia="맑은 고딕"/>
          <w:lang w:eastAsia="ko-KR"/>
        </w:rPr>
        <w:t xml:space="preserve"> </w:t>
      </w:r>
      <w:r w:rsidRPr="00244435">
        <w:rPr>
          <w:rFonts w:eastAsia="맑은 고딕"/>
          <w:lang w:eastAsia="ko-KR"/>
        </w:rPr>
        <w:t>To this end, measurement parameters for mobility enhancement such as RSRP/RSRQ may be used.</w:t>
      </w:r>
      <w:r w:rsidR="00C63B1A">
        <w:rPr>
          <w:rFonts w:eastAsia="맑은 고딕"/>
          <w:lang w:eastAsia="ko-KR"/>
        </w:rPr>
        <w:t xml:space="preserve"> </w:t>
      </w:r>
      <w:r w:rsidR="00C63B1A" w:rsidRPr="00C63B1A">
        <w:rPr>
          <w:rFonts w:eastAsia="맑은 고딕"/>
          <w:lang w:eastAsia="ko-KR"/>
        </w:rPr>
        <w:t xml:space="preserve">In addition, it may be necessary to analyze the </w:t>
      </w:r>
      <w:proofErr w:type="spellStart"/>
      <w:r w:rsidR="00C63B1A" w:rsidRPr="00C63B1A">
        <w:rPr>
          <w:rFonts w:eastAsia="맑은 고딕"/>
          <w:lang w:eastAsia="ko-KR"/>
        </w:rPr>
        <w:t>subframe</w:t>
      </w:r>
      <w:proofErr w:type="spellEnd"/>
      <w:r w:rsidR="00C63B1A" w:rsidRPr="00C63B1A">
        <w:rPr>
          <w:rFonts w:eastAsia="맑은 고딕"/>
          <w:lang w:eastAsia="ko-KR"/>
        </w:rPr>
        <w:t xml:space="preserve"> number of random access configurations according to the RACH preamble design and the RACH capacity.</w:t>
      </w:r>
    </w:p>
    <w:p w14:paraId="29D9EC1C" w14:textId="52F1BD96" w:rsidR="00244435" w:rsidRDefault="00244435" w:rsidP="002A2845">
      <w:pPr>
        <w:spacing w:before="120" w:after="120" w:line="240" w:lineRule="auto"/>
        <w:rPr>
          <w:rFonts w:eastAsia="맑은 고딕"/>
          <w:lang w:eastAsia="ko-KR"/>
        </w:rPr>
      </w:pPr>
    </w:p>
    <w:p w14:paraId="35AB7DF2" w14:textId="29D14707" w:rsidR="00244435" w:rsidRDefault="00244435" w:rsidP="000B6110">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4</w:t>
      </w:r>
      <w:r w:rsidRPr="00CB24F8">
        <w:rPr>
          <w:rFonts w:eastAsia="바탕"/>
          <w:b/>
          <w:noProof/>
          <w:szCs w:val="22"/>
          <w:lang w:eastAsia="zh-CN"/>
        </w:rPr>
        <w:t>:</w:t>
      </w:r>
      <w:r w:rsidRPr="00CB24F8">
        <w:rPr>
          <w:rFonts w:eastAsia="바탕"/>
          <w:b/>
          <w:noProof/>
          <w:szCs w:val="22"/>
          <w:lang w:eastAsia="zh-CN"/>
        </w:rPr>
        <w:tab/>
      </w:r>
      <w:r w:rsidR="00CC0FCF" w:rsidRPr="00CC0FCF">
        <w:rPr>
          <w:rFonts w:eastAsia="바탕"/>
          <w:b/>
          <w:noProof/>
          <w:szCs w:val="22"/>
          <w:lang w:eastAsia="zh-CN"/>
        </w:rPr>
        <w:t>Methods to reduce the maximum differential delay that the RACH preamble should consider may be studied.</w:t>
      </w:r>
      <w:r w:rsidR="00CC0FCF">
        <w:rPr>
          <w:rFonts w:eastAsia="바탕"/>
          <w:b/>
          <w:noProof/>
          <w:szCs w:val="22"/>
          <w:lang w:eastAsia="zh-CN"/>
        </w:rPr>
        <w:t xml:space="preserve"> </w:t>
      </w:r>
      <w:r w:rsidR="000B6110" w:rsidRPr="000B6110">
        <w:rPr>
          <w:rFonts w:eastAsia="바탕"/>
          <w:b/>
          <w:noProof/>
          <w:szCs w:val="22"/>
          <w:lang w:eastAsia="zh-CN"/>
        </w:rPr>
        <w:t xml:space="preserve">As an example, a method of allocating the same RACH occasion for </w:t>
      </w:r>
      <w:r w:rsidR="00CC0FCF">
        <w:rPr>
          <w:rFonts w:eastAsia="바탕"/>
          <w:b/>
          <w:noProof/>
          <w:szCs w:val="22"/>
          <w:lang w:eastAsia="zh-CN"/>
        </w:rPr>
        <w:t>UE</w:t>
      </w:r>
      <w:r w:rsidR="000B6110" w:rsidRPr="000B6110">
        <w:rPr>
          <w:rFonts w:eastAsia="바탕"/>
          <w:b/>
          <w:noProof/>
          <w:szCs w:val="22"/>
          <w:lang w:eastAsia="zh-CN"/>
        </w:rPr>
        <w:t>s having similar differential delay may be considered.</w:t>
      </w:r>
    </w:p>
    <w:p w14:paraId="34C9018C" w14:textId="77777777" w:rsidR="00B435DD" w:rsidRDefault="00B435DD" w:rsidP="00B435DD">
      <w:pPr>
        <w:spacing w:before="120" w:after="120" w:line="240" w:lineRule="auto"/>
        <w:rPr>
          <w:rFonts w:eastAsia="맑은 고딕" w:hint="eastAsia"/>
          <w:lang w:eastAsia="ko-KR"/>
        </w:rPr>
      </w:pPr>
    </w:p>
    <w:p w14:paraId="5428A40B" w14:textId="77777777" w:rsidR="00657D6D" w:rsidRPr="00AA30A7" w:rsidRDefault="00657D6D" w:rsidP="00657D6D">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362A0A3F" w14:textId="207BD2A0" w:rsidR="00657D6D" w:rsidRPr="00891071" w:rsidRDefault="00657D6D" w:rsidP="00657D6D">
      <w:pPr>
        <w:spacing w:after="120"/>
        <w:rPr>
          <w:lang w:eastAsia="ko-KR"/>
        </w:rPr>
      </w:pPr>
      <w:r w:rsidRPr="00891071">
        <w:rPr>
          <w:lang w:eastAsia="ko-KR"/>
        </w:rPr>
        <w:t xml:space="preserve">In this contribution, we present our considerations </w:t>
      </w:r>
      <w:r>
        <w:rPr>
          <w:lang w:eastAsia="ko-KR"/>
        </w:rPr>
        <w:t xml:space="preserve">for </w:t>
      </w:r>
      <w:r w:rsidR="000B6110">
        <w:rPr>
          <w:lang w:eastAsia="ko-KR"/>
        </w:rPr>
        <w:t xml:space="preserve">uplink timing </w:t>
      </w:r>
      <w:bookmarkStart w:id="2" w:name="_GoBack"/>
      <w:bookmarkEnd w:id="2"/>
      <w:r w:rsidR="000B6110">
        <w:rPr>
          <w:lang w:eastAsia="ko-KR"/>
        </w:rPr>
        <w:t>advance</w:t>
      </w:r>
      <w:r w:rsidR="002F531B">
        <w:rPr>
          <w:lang w:eastAsia="ko-KR"/>
        </w:rPr>
        <w:t xml:space="preserve">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p>
    <w:p w14:paraId="6CE1807E" w14:textId="65671FFE" w:rsidR="0072596E" w:rsidRDefault="00657D6D" w:rsidP="0095051C">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Proposal 1:</w:t>
      </w:r>
      <w:r w:rsidRPr="00CB24F8">
        <w:rPr>
          <w:rFonts w:eastAsia="바탕"/>
          <w:b/>
          <w:noProof/>
          <w:szCs w:val="22"/>
          <w:lang w:eastAsia="zh-CN"/>
        </w:rPr>
        <w:tab/>
      </w:r>
      <w:r w:rsidR="0095051C">
        <w:rPr>
          <w:rFonts w:eastAsia="바탕"/>
          <w:b/>
          <w:noProof/>
          <w:szCs w:val="22"/>
          <w:lang w:eastAsia="zh-CN"/>
        </w:rPr>
        <w:t>T</w:t>
      </w:r>
      <w:r w:rsidR="0095051C" w:rsidRPr="00C1566F">
        <w:rPr>
          <w:rFonts w:eastAsia="바탕"/>
          <w:b/>
          <w:noProof/>
          <w:szCs w:val="22"/>
          <w:lang w:eastAsia="zh-CN"/>
        </w:rPr>
        <w:t>he gNB may adjust the number of broadcasted common TAs and may configure</w:t>
      </w:r>
      <w:r w:rsidR="0095051C">
        <w:rPr>
          <w:rFonts w:eastAsia="바탕"/>
          <w:b/>
          <w:noProof/>
          <w:szCs w:val="22"/>
          <w:lang w:eastAsia="zh-CN"/>
        </w:rPr>
        <w:t xml:space="preserve"> </w:t>
      </w:r>
      <w:r w:rsidR="0095051C" w:rsidRPr="00C1566F">
        <w:rPr>
          <w:rFonts w:eastAsia="바탕"/>
          <w:b/>
          <w:noProof/>
          <w:szCs w:val="22"/>
          <w:lang w:eastAsia="zh-CN"/>
        </w:rPr>
        <w:t>related information. This may be associated with the information of SSB.</w:t>
      </w:r>
      <w:r w:rsidR="0095051C">
        <w:rPr>
          <w:rFonts w:eastAsia="바탕"/>
          <w:b/>
          <w:noProof/>
          <w:szCs w:val="22"/>
          <w:lang w:eastAsia="zh-CN"/>
        </w:rPr>
        <w:t xml:space="preserve"> </w:t>
      </w:r>
      <w:r w:rsidR="0095051C" w:rsidRPr="00A5384B">
        <w:rPr>
          <w:rFonts w:eastAsia="바탕"/>
          <w:b/>
          <w:noProof/>
          <w:szCs w:val="22"/>
          <w:lang w:eastAsia="zh-CN"/>
        </w:rPr>
        <w:t>In addition, it may be useful to configure a signal by separating the common TA of the feeder link and the common TA of the service link in terms of overhead.</w:t>
      </w:r>
    </w:p>
    <w:p w14:paraId="4A1EFC14" w14:textId="23846709" w:rsidR="00D640F4" w:rsidRDefault="00D640F4" w:rsidP="00D640F4">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Pr="007D52C9">
        <w:rPr>
          <w:rFonts w:eastAsia="맑은 고딕"/>
          <w:b/>
          <w:lang w:eastAsia="ko-KR"/>
        </w:rPr>
        <w:t xml:space="preserve">The common TA </w:t>
      </w:r>
      <w:proofErr w:type="gramStart"/>
      <w:r w:rsidRPr="007D52C9">
        <w:rPr>
          <w:rFonts w:eastAsia="맑은 고딕"/>
          <w:b/>
          <w:lang w:eastAsia="ko-KR"/>
        </w:rPr>
        <w:t>may be used</w:t>
      </w:r>
      <w:proofErr w:type="gramEnd"/>
      <w:r w:rsidRPr="007D52C9">
        <w:rPr>
          <w:rFonts w:eastAsia="맑은 고딕"/>
          <w:b/>
          <w:lang w:eastAsia="ko-KR"/>
        </w:rPr>
        <w:t xml:space="preserve"> for the RACH preamble transmission time, monitoring starting time offset for </w:t>
      </w:r>
      <w:r>
        <w:rPr>
          <w:rFonts w:eastAsia="맑은 고딕"/>
          <w:b/>
          <w:lang w:eastAsia="ko-KR"/>
        </w:rPr>
        <w:t xml:space="preserve">RAR, Msg4, </w:t>
      </w:r>
      <w:proofErr w:type="spellStart"/>
      <w:r w:rsidRPr="007D52C9">
        <w:rPr>
          <w:rFonts w:eastAsia="맑은 고딕"/>
          <w:b/>
          <w:lang w:eastAsia="ko-KR"/>
        </w:rPr>
        <w:t>MsgB</w:t>
      </w:r>
      <w:proofErr w:type="spellEnd"/>
      <w:r w:rsidRPr="007D52C9">
        <w:rPr>
          <w:rFonts w:eastAsia="맑은 고딕"/>
          <w:b/>
          <w:lang w:eastAsia="ko-KR"/>
        </w:rPr>
        <w:t>,</w:t>
      </w:r>
      <w:r>
        <w:rPr>
          <w:rFonts w:eastAsia="맑은 고딕"/>
          <w:b/>
          <w:lang w:eastAsia="ko-KR"/>
        </w:rPr>
        <w:t xml:space="preserve"> and beam management,</w:t>
      </w:r>
      <w:r w:rsidRPr="007D52C9">
        <w:rPr>
          <w:rFonts w:eastAsia="맑은 고딕"/>
          <w:b/>
          <w:lang w:eastAsia="ko-KR"/>
        </w:rPr>
        <w:t xml:space="preserve"> and scheduling offset.</w:t>
      </w:r>
      <w:r>
        <w:rPr>
          <w:rFonts w:eastAsia="맑은 고딕"/>
          <w:lang w:eastAsia="ko-KR"/>
        </w:rPr>
        <w:t xml:space="preserve"> </w:t>
      </w:r>
      <w:r w:rsidRPr="00854E8A">
        <w:rPr>
          <w:rFonts w:eastAsia="바탕"/>
          <w:b/>
          <w:noProof/>
          <w:szCs w:val="22"/>
          <w:lang w:eastAsia="zh-CN"/>
        </w:rPr>
        <w:t>When configuring UE-specific differential TA signaling in initial access, the RACH preamble transmission time of UE may be considered.</w:t>
      </w:r>
    </w:p>
    <w:p w14:paraId="651586AC" w14:textId="77777777" w:rsidR="00CC4578" w:rsidRDefault="00CC4578" w:rsidP="00CC4578">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Pr="002A2845">
        <w:rPr>
          <w:rFonts w:eastAsia="바탕"/>
          <w:b/>
          <w:noProof/>
          <w:szCs w:val="22"/>
          <w:lang w:eastAsia="zh-CN"/>
        </w:rPr>
        <w:t>In the case of LEO, the update of the common TA may be considered in the TA adjustment procedure.</w:t>
      </w:r>
    </w:p>
    <w:p w14:paraId="6D45639D" w14:textId="1B1F2B36" w:rsidR="00CC0FCF" w:rsidRDefault="00CC0FCF" w:rsidP="00CC0FCF">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4</w:t>
      </w:r>
      <w:r w:rsidRPr="00CB24F8">
        <w:rPr>
          <w:rFonts w:eastAsia="바탕"/>
          <w:b/>
          <w:noProof/>
          <w:szCs w:val="22"/>
          <w:lang w:eastAsia="zh-CN"/>
        </w:rPr>
        <w:t>:</w:t>
      </w:r>
      <w:r w:rsidRPr="00CB24F8">
        <w:rPr>
          <w:rFonts w:eastAsia="바탕"/>
          <w:b/>
          <w:noProof/>
          <w:szCs w:val="22"/>
          <w:lang w:eastAsia="zh-CN"/>
        </w:rPr>
        <w:tab/>
      </w:r>
      <w:r w:rsidRPr="00CC0FCF">
        <w:rPr>
          <w:rFonts w:eastAsia="바탕"/>
          <w:b/>
          <w:noProof/>
          <w:szCs w:val="22"/>
          <w:lang w:eastAsia="zh-CN"/>
        </w:rPr>
        <w:t>Methods to reduce the maximum differential delay that the RACH preamble should consider may be studied.</w:t>
      </w:r>
      <w:r>
        <w:rPr>
          <w:rFonts w:eastAsia="바탕"/>
          <w:b/>
          <w:noProof/>
          <w:szCs w:val="22"/>
          <w:lang w:eastAsia="zh-CN"/>
        </w:rPr>
        <w:t xml:space="preserve"> </w:t>
      </w:r>
      <w:r w:rsidRPr="000B6110">
        <w:rPr>
          <w:rFonts w:eastAsia="바탕"/>
          <w:b/>
          <w:noProof/>
          <w:szCs w:val="22"/>
          <w:lang w:eastAsia="zh-CN"/>
        </w:rPr>
        <w:t xml:space="preserve">As an example, a method of allocating the same RACH occasion for </w:t>
      </w:r>
      <w:r>
        <w:rPr>
          <w:rFonts w:eastAsia="바탕"/>
          <w:b/>
          <w:noProof/>
          <w:szCs w:val="22"/>
          <w:lang w:eastAsia="zh-CN"/>
        </w:rPr>
        <w:t>UE</w:t>
      </w:r>
      <w:r w:rsidRPr="000B6110">
        <w:rPr>
          <w:rFonts w:eastAsia="바탕"/>
          <w:b/>
          <w:noProof/>
          <w:szCs w:val="22"/>
          <w:lang w:eastAsia="zh-CN"/>
        </w:rPr>
        <w:t>s having similar differential delay may be considered.</w:t>
      </w:r>
    </w:p>
    <w:p w14:paraId="15C968F9" w14:textId="77777777" w:rsidR="00B435DD" w:rsidRDefault="00B435DD" w:rsidP="00B435DD">
      <w:pPr>
        <w:spacing w:before="120" w:after="120" w:line="240" w:lineRule="auto"/>
        <w:rPr>
          <w:rFonts w:eastAsia="맑은 고딕"/>
          <w:lang w:eastAsia="ko-KR"/>
        </w:rPr>
      </w:pPr>
    </w:p>
    <w:p w14:paraId="7FB8B4D2" w14:textId="77777777" w:rsidR="00657D6D" w:rsidRPr="00AA30A7" w:rsidRDefault="00657D6D" w:rsidP="00657D6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544BDA4" w14:textId="3AD6A5B4" w:rsidR="0043633B" w:rsidRDefault="0043633B" w:rsidP="0043633B">
      <w:pPr>
        <w:numPr>
          <w:ilvl w:val="0"/>
          <w:numId w:val="6"/>
        </w:numPr>
        <w:tabs>
          <w:tab w:val="left" w:pos="810"/>
        </w:tabs>
        <w:spacing w:after="180"/>
        <w:contextualSpacing/>
        <w:rPr>
          <w:lang w:eastAsia="zh-CN"/>
        </w:rPr>
      </w:pPr>
      <w:r>
        <w:rPr>
          <w:lang w:eastAsia="ko-KR"/>
        </w:rPr>
        <w:t>3GPP TSG-RAN WG1 meeting #98, “</w:t>
      </w:r>
      <w:r w:rsidRPr="0043633B">
        <w:rPr>
          <w:lang w:eastAsia="ko-KR"/>
        </w:rPr>
        <w:t>RAN1 Chairman’s Notes</w:t>
      </w:r>
      <w:r>
        <w:rPr>
          <w:lang w:eastAsia="ko-KR"/>
        </w:rPr>
        <w:t>”</w:t>
      </w:r>
    </w:p>
    <w:p w14:paraId="1F7320BF" w14:textId="2F4E9DF1" w:rsidR="0043633B" w:rsidRDefault="00326A5C" w:rsidP="00271F4F">
      <w:pPr>
        <w:numPr>
          <w:ilvl w:val="0"/>
          <w:numId w:val="6"/>
        </w:numPr>
        <w:tabs>
          <w:tab w:val="left" w:pos="810"/>
        </w:tabs>
        <w:spacing w:after="180"/>
        <w:contextualSpacing/>
        <w:rPr>
          <w:lang w:eastAsia="zh-CN"/>
        </w:rPr>
      </w:pPr>
      <w:r>
        <w:rPr>
          <w:lang w:eastAsia="ko-KR"/>
        </w:rPr>
        <w:t>3GPP TSG-RAN WG2 meeting #10</w:t>
      </w:r>
      <w:r w:rsidR="0043633B">
        <w:rPr>
          <w:lang w:eastAsia="ko-KR"/>
        </w:rPr>
        <w:t>7</w:t>
      </w:r>
      <w:r w:rsidR="00657D6D">
        <w:rPr>
          <w:lang w:eastAsia="ko-KR"/>
        </w:rPr>
        <w:t>, “</w:t>
      </w:r>
      <w:r w:rsidR="00657D6D" w:rsidRPr="002358B1">
        <w:rPr>
          <w:lang w:eastAsia="ko-KR"/>
        </w:rPr>
        <w:t>Report of 3GPP TSG RAN</w:t>
      </w:r>
      <w:r>
        <w:rPr>
          <w:lang w:eastAsia="ko-KR"/>
        </w:rPr>
        <w:t xml:space="preserve"> WG</w:t>
      </w:r>
      <w:r w:rsidR="00657D6D" w:rsidRPr="002358B1">
        <w:rPr>
          <w:lang w:eastAsia="ko-KR"/>
        </w:rPr>
        <w:t>2</w:t>
      </w:r>
      <w:r>
        <w:rPr>
          <w:lang w:eastAsia="ko-KR"/>
        </w:rPr>
        <w:t xml:space="preserve"> </w:t>
      </w:r>
      <w:r w:rsidR="00657D6D" w:rsidRPr="002358B1">
        <w:rPr>
          <w:lang w:eastAsia="ko-KR"/>
        </w:rPr>
        <w:t>meeting</w:t>
      </w:r>
      <w:r>
        <w:rPr>
          <w:lang w:eastAsia="ko-KR"/>
        </w:rPr>
        <w:t xml:space="preserve"> #10</w:t>
      </w:r>
      <w:r w:rsidR="0043633B">
        <w:rPr>
          <w:lang w:eastAsia="ko-KR"/>
        </w:rPr>
        <w:t>7</w:t>
      </w:r>
      <w:r w:rsidR="00657D6D">
        <w:rPr>
          <w:lang w:eastAsia="ko-KR"/>
        </w:rPr>
        <w:t>”</w:t>
      </w:r>
    </w:p>
    <w:p w14:paraId="6515A055" w14:textId="456FC1F7" w:rsidR="003205B6" w:rsidRDefault="0043633B" w:rsidP="008312F4">
      <w:pPr>
        <w:numPr>
          <w:ilvl w:val="0"/>
          <w:numId w:val="6"/>
        </w:numPr>
        <w:tabs>
          <w:tab w:val="left" w:pos="810"/>
        </w:tabs>
        <w:spacing w:after="180"/>
        <w:contextualSpacing/>
        <w:rPr>
          <w:lang w:eastAsia="zh-CN"/>
        </w:rPr>
      </w:pPr>
      <w:r w:rsidRPr="0043633B">
        <w:rPr>
          <w:lang w:eastAsia="zh-CN"/>
        </w:rPr>
        <w:t>R2-1911289</w:t>
      </w:r>
      <w:r w:rsidR="00657D6D">
        <w:rPr>
          <w:lang w:eastAsia="zh-CN"/>
        </w:rPr>
        <w:t>, “</w:t>
      </w:r>
      <w:r w:rsidRPr="0043633B">
        <w:rPr>
          <w:lang w:eastAsia="zh-CN"/>
        </w:rPr>
        <w:t>Discussion on Satellite beams and their mapping to NR cells</w:t>
      </w:r>
      <w:r w:rsidR="00657D6D">
        <w:rPr>
          <w:lang w:eastAsia="zh-CN"/>
        </w:rPr>
        <w:t>”</w:t>
      </w:r>
    </w:p>
    <w:sectPr w:rsidR="003205B6" w:rsidSect="00345456">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1883C" w14:textId="77777777" w:rsidR="00A73CD4" w:rsidRDefault="00A73CD4">
      <w:r>
        <w:separator/>
      </w:r>
    </w:p>
  </w:endnote>
  <w:endnote w:type="continuationSeparator" w:id="0">
    <w:p w14:paraId="2D737831" w14:textId="77777777" w:rsidR="00A73CD4" w:rsidRDefault="00A7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6C4B734D"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51605">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51605">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6421B" w14:textId="77777777" w:rsidR="00A73CD4" w:rsidRDefault="00A73CD4">
      <w:r>
        <w:separator/>
      </w:r>
    </w:p>
  </w:footnote>
  <w:footnote w:type="continuationSeparator" w:id="0">
    <w:p w14:paraId="3E16CBCB" w14:textId="77777777" w:rsidR="00A73CD4" w:rsidRDefault="00A73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4"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11"/>
  </w:num>
  <w:num w:numId="5">
    <w:abstractNumId w:val="1"/>
  </w:num>
  <w:num w:numId="6">
    <w:abstractNumId w:val="7"/>
  </w:num>
  <w:num w:numId="7">
    <w:abstractNumId w:val="6"/>
  </w:num>
  <w:num w:numId="8">
    <w:abstractNumId w:val="10"/>
  </w:num>
  <w:num w:numId="9">
    <w:abstractNumId w:val="3"/>
  </w:num>
  <w:num w:numId="10">
    <w:abstractNumId w:val="4"/>
  </w:num>
  <w:num w:numId="11">
    <w:abstractNumId w:val="9"/>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6B5B"/>
    <w:rsid w:val="00076BD7"/>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3FD"/>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110"/>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4C4F"/>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EB9"/>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AC6"/>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A1C"/>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0DCD"/>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DF"/>
    <w:rsid w:val="002041ED"/>
    <w:rsid w:val="0020426E"/>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3A"/>
    <w:rsid w:val="002422AB"/>
    <w:rsid w:val="00242666"/>
    <w:rsid w:val="00242873"/>
    <w:rsid w:val="00242B8D"/>
    <w:rsid w:val="00242BD8"/>
    <w:rsid w:val="00242C3B"/>
    <w:rsid w:val="00242F6B"/>
    <w:rsid w:val="002430A0"/>
    <w:rsid w:val="002430A8"/>
    <w:rsid w:val="0024327B"/>
    <w:rsid w:val="002435B9"/>
    <w:rsid w:val="00243875"/>
    <w:rsid w:val="00243A41"/>
    <w:rsid w:val="00243FB3"/>
    <w:rsid w:val="00244040"/>
    <w:rsid w:val="00244435"/>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2E16"/>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2B"/>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845"/>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31B"/>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05B6"/>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5C"/>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672"/>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310A"/>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08D"/>
    <w:rsid w:val="003F3930"/>
    <w:rsid w:val="003F39EA"/>
    <w:rsid w:val="003F424A"/>
    <w:rsid w:val="003F46D2"/>
    <w:rsid w:val="003F4CA0"/>
    <w:rsid w:val="003F4D5C"/>
    <w:rsid w:val="003F57A9"/>
    <w:rsid w:val="003F5D1D"/>
    <w:rsid w:val="003F631D"/>
    <w:rsid w:val="003F67F7"/>
    <w:rsid w:val="003F6CBB"/>
    <w:rsid w:val="003F6F26"/>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C88"/>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3B"/>
    <w:rsid w:val="004363D6"/>
    <w:rsid w:val="00436572"/>
    <w:rsid w:val="004365AB"/>
    <w:rsid w:val="00436631"/>
    <w:rsid w:val="004369DD"/>
    <w:rsid w:val="00436B52"/>
    <w:rsid w:val="00436C5B"/>
    <w:rsid w:val="00437252"/>
    <w:rsid w:val="0043785F"/>
    <w:rsid w:val="00437E90"/>
    <w:rsid w:val="004405CB"/>
    <w:rsid w:val="00440A20"/>
    <w:rsid w:val="00440ADF"/>
    <w:rsid w:val="00441324"/>
    <w:rsid w:val="00441430"/>
    <w:rsid w:val="004416F6"/>
    <w:rsid w:val="00441778"/>
    <w:rsid w:val="00441E4E"/>
    <w:rsid w:val="00442AAE"/>
    <w:rsid w:val="00442BBD"/>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290"/>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88B"/>
    <w:rsid w:val="004A396A"/>
    <w:rsid w:val="004A40BF"/>
    <w:rsid w:val="004A41F4"/>
    <w:rsid w:val="004A44B4"/>
    <w:rsid w:val="004A4740"/>
    <w:rsid w:val="004A4904"/>
    <w:rsid w:val="004A4BF6"/>
    <w:rsid w:val="004A4FFF"/>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F15"/>
    <w:rsid w:val="0050151C"/>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2E87"/>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130"/>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6F5"/>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808"/>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60"/>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A2E"/>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1F7"/>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68"/>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291"/>
    <w:rsid w:val="006D3CD9"/>
    <w:rsid w:val="006D461B"/>
    <w:rsid w:val="006D47D5"/>
    <w:rsid w:val="006D49F5"/>
    <w:rsid w:val="006D529F"/>
    <w:rsid w:val="006D52C0"/>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3"/>
    <w:rsid w:val="006E60B7"/>
    <w:rsid w:val="006E6188"/>
    <w:rsid w:val="006E6337"/>
    <w:rsid w:val="006E63F3"/>
    <w:rsid w:val="006E6795"/>
    <w:rsid w:val="006E6848"/>
    <w:rsid w:val="006E75B7"/>
    <w:rsid w:val="006E7898"/>
    <w:rsid w:val="006E7A68"/>
    <w:rsid w:val="006E7E02"/>
    <w:rsid w:val="006F024D"/>
    <w:rsid w:val="006F0C81"/>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85"/>
    <w:rsid w:val="007111B8"/>
    <w:rsid w:val="0071154A"/>
    <w:rsid w:val="007122C0"/>
    <w:rsid w:val="0071230B"/>
    <w:rsid w:val="007126B8"/>
    <w:rsid w:val="007127C5"/>
    <w:rsid w:val="00713767"/>
    <w:rsid w:val="00713D00"/>
    <w:rsid w:val="00713DA7"/>
    <w:rsid w:val="00713E3C"/>
    <w:rsid w:val="00713EBC"/>
    <w:rsid w:val="00713FBF"/>
    <w:rsid w:val="007141C3"/>
    <w:rsid w:val="0071479E"/>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96E"/>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74A"/>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0BB1"/>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3926"/>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2C9"/>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A5E"/>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2FB5"/>
    <w:rsid w:val="00804023"/>
    <w:rsid w:val="0080457B"/>
    <w:rsid w:val="00804A63"/>
    <w:rsid w:val="00804A74"/>
    <w:rsid w:val="00805398"/>
    <w:rsid w:val="00805661"/>
    <w:rsid w:val="00805700"/>
    <w:rsid w:val="008059BD"/>
    <w:rsid w:val="00806318"/>
    <w:rsid w:val="008065C5"/>
    <w:rsid w:val="0080671D"/>
    <w:rsid w:val="00806F31"/>
    <w:rsid w:val="00807172"/>
    <w:rsid w:val="0080736E"/>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D1E"/>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6A1"/>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58E"/>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73"/>
    <w:rsid w:val="008533E6"/>
    <w:rsid w:val="00853620"/>
    <w:rsid w:val="00853DE4"/>
    <w:rsid w:val="00853E1A"/>
    <w:rsid w:val="008540C9"/>
    <w:rsid w:val="008540DA"/>
    <w:rsid w:val="0085460A"/>
    <w:rsid w:val="00854642"/>
    <w:rsid w:val="00854873"/>
    <w:rsid w:val="00854988"/>
    <w:rsid w:val="00854D92"/>
    <w:rsid w:val="00854DCA"/>
    <w:rsid w:val="00854E8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1A1C"/>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D51"/>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2C8B"/>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3CB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587"/>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6FF"/>
    <w:rsid w:val="0094693D"/>
    <w:rsid w:val="009472EF"/>
    <w:rsid w:val="0094749B"/>
    <w:rsid w:val="00947679"/>
    <w:rsid w:val="00947FA1"/>
    <w:rsid w:val="00947FCF"/>
    <w:rsid w:val="0095001B"/>
    <w:rsid w:val="009500A2"/>
    <w:rsid w:val="0095051C"/>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67F0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7B3"/>
    <w:rsid w:val="00982C5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42C"/>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7296"/>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497"/>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4C47"/>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B04"/>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84B"/>
    <w:rsid w:val="00A53C98"/>
    <w:rsid w:val="00A53D1A"/>
    <w:rsid w:val="00A54103"/>
    <w:rsid w:val="00A5473B"/>
    <w:rsid w:val="00A5475A"/>
    <w:rsid w:val="00A55CC2"/>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CD4"/>
    <w:rsid w:val="00A73D05"/>
    <w:rsid w:val="00A73E5E"/>
    <w:rsid w:val="00A73E7B"/>
    <w:rsid w:val="00A743EF"/>
    <w:rsid w:val="00A744FF"/>
    <w:rsid w:val="00A74719"/>
    <w:rsid w:val="00A7495A"/>
    <w:rsid w:val="00A75655"/>
    <w:rsid w:val="00A75F27"/>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10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5DD"/>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3C6A"/>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A7A"/>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9B6"/>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A17"/>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66F"/>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3AE"/>
    <w:rsid w:val="00C21D40"/>
    <w:rsid w:val="00C22117"/>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605"/>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3B1A"/>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534"/>
    <w:rsid w:val="00C775E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29"/>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9FC"/>
    <w:rsid w:val="00CB4C0A"/>
    <w:rsid w:val="00CB4FA6"/>
    <w:rsid w:val="00CB4FE4"/>
    <w:rsid w:val="00CB5420"/>
    <w:rsid w:val="00CB5783"/>
    <w:rsid w:val="00CB5D3F"/>
    <w:rsid w:val="00CB5DA2"/>
    <w:rsid w:val="00CB6E37"/>
    <w:rsid w:val="00CB70D2"/>
    <w:rsid w:val="00CB7939"/>
    <w:rsid w:val="00CB7AEE"/>
    <w:rsid w:val="00CC08BD"/>
    <w:rsid w:val="00CC0FCF"/>
    <w:rsid w:val="00CC1852"/>
    <w:rsid w:val="00CC193F"/>
    <w:rsid w:val="00CC1B85"/>
    <w:rsid w:val="00CC1D89"/>
    <w:rsid w:val="00CC2134"/>
    <w:rsid w:val="00CC2913"/>
    <w:rsid w:val="00CC2F42"/>
    <w:rsid w:val="00CC3092"/>
    <w:rsid w:val="00CC3BEF"/>
    <w:rsid w:val="00CC4578"/>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5ECC"/>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6FF"/>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307"/>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A79"/>
    <w:rsid w:val="00D63AFA"/>
    <w:rsid w:val="00D63B04"/>
    <w:rsid w:val="00D63B49"/>
    <w:rsid w:val="00D63EFC"/>
    <w:rsid w:val="00D63F00"/>
    <w:rsid w:val="00D640C6"/>
    <w:rsid w:val="00D640F4"/>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670"/>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01C"/>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6FD"/>
    <w:rsid w:val="00DD57A3"/>
    <w:rsid w:val="00DD58CE"/>
    <w:rsid w:val="00DD5C15"/>
    <w:rsid w:val="00DD5F9B"/>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77E"/>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6C63"/>
    <w:rsid w:val="00DF75A6"/>
    <w:rsid w:val="00DF768E"/>
    <w:rsid w:val="00DF794B"/>
    <w:rsid w:val="00DF796F"/>
    <w:rsid w:val="00DF7CA7"/>
    <w:rsid w:val="00DF7F7C"/>
    <w:rsid w:val="00DF7FD3"/>
    <w:rsid w:val="00E00B6A"/>
    <w:rsid w:val="00E00BB3"/>
    <w:rsid w:val="00E00FB3"/>
    <w:rsid w:val="00E012DB"/>
    <w:rsid w:val="00E0137F"/>
    <w:rsid w:val="00E01538"/>
    <w:rsid w:val="00E01D0D"/>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BB9"/>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0C3E"/>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BA3"/>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2F0"/>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04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0C5"/>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07"/>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02F"/>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831115">
      <w:bodyDiv w:val="1"/>
      <w:marLeft w:val="0"/>
      <w:marRight w:val="0"/>
      <w:marTop w:val="0"/>
      <w:marBottom w:val="0"/>
      <w:divBdr>
        <w:top w:val="none" w:sz="0" w:space="0" w:color="auto"/>
        <w:left w:val="none" w:sz="0" w:space="0" w:color="auto"/>
        <w:bottom w:val="none" w:sz="0" w:space="0" w:color="auto"/>
        <w:right w:val="none" w:sz="0" w:space="0" w:color="auto"/>
      </w:divBdr>
      <w:divsChild>
        <w:div w:id="1810628741">
          <w:marLeft w:val="0"/>
          <w:marRight w:val="0"/>
          <w:marTop w:val="0"/>
          <w:marBottom w:val="0"/>
          <w:divBdr>
            <w:top w:val="none" w:sz="0" w:space="0" w:color="auto"/>
            <w:left w:val="none" w:sz="0" w:space="0" w:color="auto"/>
            <w:bottom w:val="none" w:sz="0" w:space="0" w:color="auto"/>
            <w:right w:val="none" w:sz="0" w:space="0" w:color="auto"/>
          </w:divBdr>
          <w:divsChild>
            <w:div w:id="75246044">
              <w:marLeft w:val="0"/>
              <w:marRight w:val="0"/>
              <w:marTop w:val="0"/>
              <w:marBottom w:val="0"/>
              <w:divBdr>
                <w:top w:val="none" w:sz="0" w:space="0" w:color="auto"/>
                <w:left w:val="none" w:sz="0" w:space="0" w:color="auto"/>
                <w:bottom w:val="none" w:sz="0" w:space="0" w:color="auto"/>
                <w:right w:val="none" w:sz="0" w:space="0" w:color="auto"/>
              </w:divBdr>
              <w:divsChild>
                <w:div w:id="320735980">
                  <w:marLeft w:val="0"/>
                  <w:marRight w:val="0"/>
                  <w:marTop w:val="0"/>
                  <w:marBottom w:val="0"/>
                  <w:divBdr>
                    <w:top w:val="none" w:sz="0" w:space="0" w:color="auto"/>
                    <w:left w:val="none" w:sz="0" w:space="0" w:color="auto"/>
                    <w:bottom w:val="none" w:sz="0" w:space="0" w:color="auto"/>
                    <w:right w:val="none" w:sz="0" w:space="0" w:color="auto"/>
                  </w:divBdr>
                  <w:divsChild>
                    <w:div w:id="567963416">
                      <w:marLeft w:val="0"/>
                      <w:marRight w:val="0"/>
                      <w:marTop w:val="0"/>
                      <w:marBottom w:val="0"/>
                      <w:divBdr>
                        <w:top w:val="none" w:sz="0" w:space="0" w:color="auto"/>
                        <w:left w:val="none" w:sz="0" w:space="0" w:color="auto"/>
                        <w:bottom w:val="none" w:sz="0" w:space="0" w:color="auto"/>
                        <w:right w:val="none" w:sz="0" w:space="0" w:color="auto"/>
                      </w:divBdr>
                      <w:divsChild>
                        <w:div w:id="300498889">
                          <w:marLeft w:val="0"/>
                          <w:marRight w:val="0"/>
                          <w:marTop w:val="0"/>
                          <w:marBottom w:val="0"/>
                          <w:divBdr>
                            <w:top w:val="none" w:sz="0" w:space="0" w:color="auto"/>
                            <w:left w:val="none" w:sz="0" w:space="0" w:color="auto"/>
                            <w:bottom w:val="none" w:sz="0" w:space="0" w:color="auto"/>
                            <w:right w:val="none" w:sz="0" w:space="0" w:color="auto"/>
                          </w:divBdr>
                          <w:divsChild>
                            <w:div w:id="310600770">
                              <w:marLeft w:val="0"/>
                              <w:marRight w:val="0"/>
                              <w:marTop w:val="0"/>
                              <w:marBottom w:val="0"/>
                              <w:divBdr>
                                <w:top w:val="none" w:sz="0" w:space="0" w:color="auto"/>
                                <w:left w:val="none" w:sz="0" w:space="0" w:color="auto"/>
                                <w:bottom w:val="none" w:sz="0" w:space="0" w:color="auto"/>
                                <w:right w:val="none" w:sz="0" w:space="0" w:color="auto"/>
                              </w:divBdr>
                            </w:div>
                            <w:div w:id="1637567073">
                              <w:marLeft w:val="0"/>
                              <w:marRight w:val="0"/>
                              <w:marTop w:val="0"/>
                              <w:marBottom w:val="0"/>
                              <w:divBdr>
                                <w:top w:val="none" w:sz="0" w:space="0" w:color="auto"/>
                                <w:left w:val="none" w:sz="0" w:space="0" w:color="auto"/>
                                <w:bottom w:val="none" w:sz="0" w:space="0" w:color="auto"/>
                                <w:right w:val="none" w:sz="0" w:space="0" w:color="auto"/>
                              </w:divBdr>
                            </w:div>
                          </w:divsChild>
                        </w:div>
                        <w:div w:id="1217744255">
                          <w:marLeft w:val="0"/>
                          <w:marRight w:val="0"/>
                          <w:marTop w:val="0"/>
                          <w:marBottom w:val="0"/>
                          <w:divBdr>
                            <w:top w:val="none" w:sz="0" w:space="0" w:color="auto"/>
                            <w:left w:val="none" w:sz="0" w:space="0" w:color="auto"/>
                            <w:bottom w:val="none" w:sz="0" w:space="0" w:color="auto"/>
                            <w:right w:val="none" w:sz="0" w:space="0" w:color="auto"/>
                          </w:divBdr>
                          <w:divsChild>
                            <w:div w:id="1378890090">
                              <w:marLeft w:val="0"/>
                              <w:marRight w:val="300"/>
                              <w:marTop w:val="180"/>
                              <w:marBottom w:val="0"/>
                              <w:divBdr>
                                <w:top w:val="none" w:sz="0" w:space="0" w:color="auto"/>
                                <w:left w:val="none" w:sz="0" w:space="0" w:color="auto"/>
                                <w:bottom w:val="none" w:sz="0" w:space="0" w:color="auto"/>
                                <w:right w:val="none" w:sz="0" w:space="0" w:color="auto"/>
                              </w:divBdr>
                              <w:divsChild>
                                <w:div w:id="2063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035093">
          <w:marLeft w:val="0"/>
          <w:marRight w:val="0"/>
          <w:marTop w:val="0"/>
          <w:marBottom w:val="0"/>
          <w:divBdr>
            <w:top w:val="none" w:sz="0" w:space="0" w:color="auto"/>
            <w:left w:val="none" w:sz="0" w:space="0" w:color="auto"/>
            <w:bottom w:val="none" w:sz="0" w:space="0" w:color="auto"/>
            <w:right w:val="none" w:sz="0" w:space="0" w:color="auto"/>
          </w:divBdr>
          <w:divsChild>
            <w:div w:id="1899320242">
              <w:marLeft w:val="0"/>
              <w:marRight w:val="0"/>
              <w:marTop w:val="0"/>
              <w:marBottom w:val="0"/>
              <w:divBdr>
                <w:top w:val="none" w:sz="0" w:space="0" w:color="auto"/>
                <w:left w:val="none" w:sz="0" w:space="0" w:color="auto"/>
                <w:bottom w:val="none" w:sz="0" w:space="0" w:color="auto"/>
                <w:right w:val="none" w:sz="0" w:space="0" w:color="auto"/>
              </w:divBdr>
              <w:divsChild>
                <w:div w:id="1672298083">
                  <w:marLeft w:val="0"/>
                  <w:marRight w:val="0"/>
                  <w:marTop w:val="0"/>
                  <w:marBottom w:val="0"/>
                  <w:divBdr>
                    <w:top w:val="none" w:sz="0" w:space="0" w:color="auto"/>
                    <w:left w:val="none" w:sz="0" w:space="0" w:color="auto"/>
                    <w:bottom w:val="none" w:sz="0" w:space="0" w:color="auto"/>
                    <w:right w:val="none" w:sz="0" w:space="0" w:color="auto"/>
                  </w:divBdr>
                  <w:divsChild>
                    <w:div w:id="361131799">
                      <w:marLeft w:val="0"/>
                      <w:marRight w:val="0"/>
                      <w:marTop w:val="0"/>
                      <w:marBottom w:val="0"/>
                      <w:divBdr>
                        <w:top w:val="none" w:sz="0" w:space="0" w:color="auto"/>
                        <w:left w:val="none" w:sz="0" w:space="0" w:color="auto"/>
                        <w:bottom w:val="none" w:sz="0" w:space="0" w:color="auto"/>
                        <w:right w:val="none" w:sz="0" w:space="0" w:color="auto"/>
                      </w:divBdr>
                      <w:divsChild>
                        <w:div w:id="611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910953">
      <w:bodyDiv w:val="1"/>
      <w:marLeft w:val="0"/>
      <w:marRight w:val="0"/>
      <w:marTop w:val="0"/>
      <w:marBottom w:val="0"/>
      <w:divBdr>
        <w:top w:val="none" w:sz="0" w:space="0" w:color="auto"/>
        <w:left w:val="none" w:sz="0" w:space="0" w:color="auto"/>
        <w:bottom w:val="none" w:sz="0" w:space="0" w:color="auto"/>
        <w:right w:val="none" w:sz="0" w:space="0" w:color="auto"/>
      </w:divBdr>
      <w:divsChild>
        <w:div w:id="72820873">
          <w:marLeft w:val="0"/>
          <w:marRight w:val="0"/>
          <w:marTop w:val="0"/>
          <w:marBottom w:val="0"/>
          <w:divBdr>
            <w:top w:val="none" w:sz="0" w:space="0" w:color="auto"/>
            <w:left w:val="none" w:sz="0" w:space="0" w:color="auto"/>
            <w:bottom w:val="none" w:sz="0" w:space="0" w:color="auto"/>
            <w:right w:val="none" w:sz="0" w:space="0" w:color="auto"/>
          </w:divBdr>
          <w:divsChild>
            <w:div w:id="413938865">
              <w:marLeft w:val="0"/>
              <w:marRight w:val="0"/>
              <w:marTop w:val="0"/>
              <w:marBottom w:val="0"/>
              <w:divBdr>
                <w:top w:val="none" w:sz="0" w:space="0" w:color="auto"/>
                <w:left w:val="none" w:sz="0" w:space="0" w:color="auto"/>
                <w:bottom w:val="none" w:sz="0" w:space="0" w:color="auto"/>
                <w:right w:val="none" w:sz="0" w:space="0" w:color="auto"/>
              </w:divBdr>
              <w:divsChild>
                <w:div w:id="467213451">
                  <w:marLeft w:val="0"/>
                  <w:marRight w:val="0"/>
                  <w:marTop w:val="0"/>
                  <w:marBottom w:val="0"/>
                  <w:divBdr>
                    <w:top w:val="none" w:sz="0" w:space="0" w:color="auto"/>
                    <w:left w:val="none" w:sz="0" w:space="0" w:color="auto"/>
                    <w:bottom w:val="none" w:sz="0" w:space="0" w:color="auto"/>
                    <w:right w:val="none" w:sz="0" w:space="0" w:color="auto"/>
                  </w:divBdr>
                  <w:divsChild>
                    <w:div w:id="656416948">
                      <w:marLeft w:val="0"/>
                      <w:marRight w:val="0"/>
                      <w:marTop w:val="0"/>
                      <w:marBottom w:val="0"/>
                      <w:divBdr>
                        <w:top w:val="none" w:sz="0" w:space="0" w:color="auto"/>
                        <w:left w:val="none" w:sz="0" w:space="0" w:color="auto"/>
                        <w:bottom w:val="none" w:sz="0" w:space="0" w:color="auto"/>
                        <w:right w:val="none" w:sz="0" w:space="0" w:color="auto"/>
                      </w:divBdr>
                      <w:divsChild>
                        <w:div w:id="109324196">
                          <w:marLeft w:val="0"/>
                          <w:marRight w:val="0"/>
                          <w:marTop w:val="0"/>
                          <w:marBottom w:val="0"/>
                          <w:divBdr>
                            <w:top w:val="none" w:sz="0" w:space="0" w:color="auto"/>
                            <w:left w:val="none" w:sz="0" w:space="0" w:color="auto"/>
                            <w:bottom w:val="none" w:sz="0" w:space="0" w:color="auto"/>
                            <w:right w:val="none" w:sz="0" w:space="0" w:color="auto"/>
                          </w:divBdr>
                          <w:divsChild>
                            <w:div w:id="1276328118">
                              <w:marLeft w:val="0"/>
                              <w:marRight w:val="0"/>
                              <w:marTop w:val="0"/>
                              <w:marBottom w:val="0"/>
                              <w:divBdr>
                                <w:top w:val="none" w:sz="0" w:space="0" w:color="auto"/>
                                <w:left w:val="none" w:sz="0" w:space="0" w:color="auto"/>
                                <w:bottom w:val="none" w:sz="0" w:space="0" w:color="auto"/>
                                <w:right w:val="none" w:sz="0" w:space="0" w:color="auto"/>
                              </w:divBdr>
                            </w:div>
                            <w:div w:id="1090855435">
                              <w:marLeft w:val="0"/>
                              <w:marRight w:val="0"/>
                              <w:marTop w:val="0"/>
                              <w:marBottom w:val="0"/>
                              <w:divBdr>
                                <w:top w:val="none" w:sz="0" w:space="0" w:color="auto"/>
                                <w:left w:val="none" w:sz="0" w:space="0" w:color="auto"/>
                                <w:bottom w:val="none" w:sz="0" w:space="0" w:color="auto"/>
                                <w:right w:val="none" w:sz="0" w:space="0" w:color="auto"/>
                              </w:divBdr>
                            </w:div>
                          </w:divsChild>
                        </w:div>
                        <w:div w:id="1647974433">
                          <w:marLeft w:val="0"/>
                          <w:marRight w:val="0"/>
                          <w:marTop w:val="0"/>
                          <w:marBottom w:val="0"/>
                          <w:divBdr>
                            <w:top w:val="none" w:sz="0" w:space="0" w:color="auto"/>
                            <w:left w:val="none" w:sz="0" w:space="0" w:color="auto"/>
                            <w:bottom w:val="none" w:sz="0" w:space="0" w:color="auto"/>
                            <w:right w:val="none" w:sz="0" w:space="0" w:color="auto"/>
                          </w:divBdr>
                          <w:divsChild>
                            <w:div w:id="1155607638">
                              <w:marLeft w:val="0"/>
                              <w:marRight w:val="300"/>
                              <w:marTop w:val="180"/>
                              <w:marBottom w:val="0"/>
                              <w:divBdr>
                                <w:top w:val="none" w:sz="0" w:space="0" w:color="auto"/>
                                <w:left w:val="none" w:sz="0" w:space="0" w:color="auto"/>
                                <w:bottom w:val="none" w:sz="0" w:space="0" w:color="auto"/>
                                <w:right w:val="none" w:sz="0" w:space="0" w:color="auto"/>
                              </w:divBdr>
                              <w:divsChild>
                                <w:div w:id="16167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286017">
          <w:marLeft w:val="0"/>
          <w:marRight w:val="0"/>
          <w:marTop w:val="0"/>
          <w:marBottom w:val="0"/>
          <w:divBdr>
            <w:top w:val="none" w:sz="0" w:space="0" w:color="auto"/>
            <w:left w:val="none" w:sz="0" w:space="0" w:color="auto"/>
            <w:bottom w:val="none" w:sz="0" w:space="0" w:color="auto"/>
            <w:right w:val="none" w:sz="0" w:space="0" w:color="auto"/>
          </w:divBdr>
          <w:divsChild>
            <w:div w:id="1082097541">
              <w:marLeft w:val="0"/>
              <w:marRight w:val="0"/>
              <w:marTop w:val="0"/>
              <w:marBottom w:val="0"/>
              <w:divBdr>
                <w:top w:val="none" w:sz="0" w:space="0" w:color="auto"/>
                <w:left w:val="none" w:sz="0" w:space="0" w:color="auto"/>
                <w:bottom w:val="none" w:sz="0" w:space="0" w:color="auto"/>
                <w:right w:val="none" w:sz="0" w:space="0" w:color="auto"/>
              </w:divBdr>
              <w:divsChild>
                <w:div w:id="1071467607">
                  <w:marLeft w:val="0"/>
                  <w:marRight w:val="0"/>
                  <w:marTop w:val="0"/>
                  <w:marBottom w:val="0"/>
                  <w:divBdr>
                    <w:top w:val="none" w:sz="0" w:space="0" w:color="auto"/>
                    <w:left w:val="none" w:sz="0" w:space="0" w:color="auto"/>
                    <w:bottom w:val="none" w:sz="0" w:space="0" w:color="auto"/>
                    <w:right w:val="none" w:sz="0" w:space="0" w:color="auto"/>
                  </w:divBdr>
                  <w:divsChild>
                    <w:div w:id="704719990">
                      <w:marLeft w:val="0"/>
                      <w:marRight w:val="0"/>
                      <w:marTop w:val="0"/>
                      <w:marBottom w:val="0"/>
                      <w:divBdr>
                        <w:top w:val="none" w:sz="0" w:space="0" w:color="auto"/>
                        <w:left w:val="none" w:sz="0" w:space="0" w:color="auto"/>
                        <w:bottom w:val="none" w:sz="0" w:space="0" w:color="auto"/>
                        <w:right w:val="none" w:sz="0" w:space="0" w:color="auto"/>
                      </w:divBdr>
                      <w:divsChild>
                        <w:div w:id="6741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4E11B-0645-46F2-8D5F-65CFF0F43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13837</TotalTime>
  <Pages>3</Pages>
  <Words>1177</Words>
  <Characters>6711</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김 지형</cp:lastModifiedBy>
  <cp:revision>153</cp:revision>
  <cp:lastPrinted>2017-09-11T11:14:00Z</cp:lastPrinted>
  <dcterms:created xsi:type="dcterms:W3CDTF">2017-10-01T04:49:00Z</dcterms:created>
  <dcterms:modified xsi:type="dcterms:W3CDTF">2019-10-04T04:22:00Z</dcterms:modified>
  <cp:category/>
</cp:coreProperties>
</file>